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B1030F">
      <w:pPr>
        <w:pStyle w:val="JSQ1"/>
        <w:numPr>
          <w:ilvl w:val="0"/>
          <w:numId w:val="0"/>
        </w:numPr>
        <w:spacing w:before="0"/>
        <w:ind w:left="374" w:hanging="374"/>
      </w:pPr>
    </w:p>
    <w:p w:rsidR="0006197F" w:rsidRDefault="00554429" w:rsidP="00B1030F">
      <w:pPr>
        <w:spacing w:after="0" w:line="360" w:lineRule="auto"/>
        <w:rPr>
          <w:rFonts w:ascii="Arial" w:hAnsi="Arial" w:cs="Arial"/>
          <w:b/>
          <w:sz w:val="28"/>
          <w:szCs w:val="28"/>
        </w:rPr>
      </w:pPr>
      <w:r>
        <w:rPr>
          <w:rFonts w:ascii="Arial" w:hAnsi="Arial" w:cs="Arial"/>
          <w:b/>
          <w:sz w:val="28"/>
          <w:szCs w:val="28"/>
        </w:rPr>
        <w:t xml:space="preserve">Chapter </w:t>
      </w:r>
      <w:r w:rsidR="00203D83">
        <w:rPr>
          <w:rFonts w:ascii="Arial" w:hAnsi="Arial" w:cs="Arial"/>
          <w:b/>
          <w:sz w:val="28"/>
          <w:szCs w:val="28"/>
        </w:rPr>
        <w:t>review</w:t>
      </w:r>
    </w:p>
    <w:p w:rsidR="00083D77" w:rsidRDefault="00083D77" w:rsidP="00B1030F">
      <w:pPr>
        <w:spacing w:after="0" w:line="360" w:lineRule="auto"/>
        <w:rPr>
          <w:rFonts w:ascii="Arial" w:hAnsi="Arial" w:cs="Arial"/>
          <w:b/>
          <w:sz w:val="24"/>
          <w:szCs w:val="24"/>
        </w:rPr>
      </w:pPr>
      <w:r>
        <w:rPr>
          <w:rFonts w:ascii="Arial" w:hAnsi="Arial" w:cs="Arial"/>
          <w:b/>
          <w:sz w:val="24"/>
          <w:szCs w:val="24"/>
        </w:rPr>
        <w:t>Developing clear definitions</w:t>
      </w:r>
    </w:p>
    <w:p w:rsidR="00083D77" w:rsidRDefault="00441301" w:rsidP="00B1030F">
      <w:pPr>
        <w:spacing w:after="0" w:line="360" w:lineRule="auto"/>
        <w:rPr>
          <w:rFonts w:ascii="Arial" w:hAnsi="Arial" w:cs="Arial"/>
          <w:color w:val="211D1E"/>
        </w:rPr>
      </w:pPr>
      <w:r>
        <w:rPr>
          <w:rFonts w:ascii="Arial" w:hAnsi="Arial" w:cs="Arial"/>
        </w:rPr>
        <w:t>Write explanations defi</w:t>
      </w:r>
      <w:r w:rsidRPr="00441301">
        <w:rPr>
          <w:rFonts w:ascii="Arial" w:hAnsi="Arial" w:cs="Arial"/>
        </w:rPr>
        <w:t>ning each of the following:</w:t>
      </w:r>
    </w:p>
    <w:p w:rsidR="00083D77" w:rsidRDefault="00083D77" w:rsidP="00B1030F">
      <w:pPr>
        <w:spacing w:after="0" w:line="360" w:lineRule="auto"/>
        <w:rPr>
          <w:rFonts w:ascii="Arial" w:hAnsi="Arial" w:cs="Arial"/>
          <w:color w:val="211D1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790"/>
        <w:gridCol w:w="2912"/>
      </w:tblGrid>
      <w:tr w:rsidR="00441301" w:rsidRPr="00315DE2" w:rsidTr="00315DE2">
        <w:tc>
          <w:tcPr>
            <w:tcW w:w="3528" w:type="dxa"/>
            <w:shd w:val="clear" w:color="auto" w:fill="auto"/>
            <w:vAlign w:val="center"/>
          </w:tcPr>
          <w:p w:rsidR="00441301" w:rsidRPr="00315DE2" w:rsidRDefault="00441301" w:rsidP="00315DE2">
            <w:pPr>
              <w:spacing w:after="0" w:line="360" w:lineRule="auto"/>
              <w:rPr>
                <w:rFonts w:ascii="Arial" w:hAnsi="Arial" w:cs="Arial"/>
                <w:b/>
              </w:rPr>
            </w:pPr>
            <w:r w:rsidRPr="00315DE2">
              <w:rPr>
                <w:rFonts w:ascii="Arial" w:hAnsi="Arial" w:cs="Arial"/>
                <w:b/>
              </w:rPr>
              <w:t>Significant ideas and events</w:t>
            </w:r>
          </w:p>
        </w:tc>
        <w:tc>
          <w:tcPr>
            <w:tcW w:w="2790" w:type="dxa"/>
            <w:shd w:val="clear" w:color="auto" w:fill="auto"/>
            <w:vAlign w:val="center"/>
          </w:tcPr>
          <w:p w:rsidR="00441301" w:rsidRPr="00315DE2" w:rsidRDefault="000D7420" w:rsidP="00315DE2">
            <w:pPr>
              <w:spacing w:after="0" w:line="360" w:lineRule="auto"/>
              <w:rPr>
                <w:rFonts w:ascii="Arial" w:hAnsi="Arial" w:cs="Arial"/>
                <w:b/>
              </w:rPr>
            </w:pPr>
            <w:r w:rsidRPr="00315DE2">
              <w:rPr>
                <w:rFonts w:ascii="Arial" w:hAnsi="Arial" w:cs="Arial"/>
                <w:b/>
              </w:rPr>
              <w:t>Popular movements</w:t>
            </w:r>
          </w:p>
        </w:tc>
        <w:tc>
          <w:tcPr>
            <w:tcW w:w="2912" w:type="dxa"/>
            <w:shd w:val="clear" w:color="auto" w:fill="auto"/>
            <w:vAlign w:val="center"/>
          </w:tcPr>
          <w:p w:rsidR="00441301" w:rsidRPr="00315DE2" w:rsidRDefault="000D7420" w:rsidP="00315DE2">
            <w:pPr>
              <w:spacing w:after="0" w:line="360" w:lineRule="auto"/>
              <w:rPr>
                <w:rFonts w:ascii="Arial" w:hAnsi="Arial" w:cs="Arial"/>
                <w:b/>
              </w:rPr>
            </w:pPr>
            <w:r w:rsidRPr="00315DE2">
              <w:rPr>
                <w:rFonts w:ascii="Arial" w:hAnsi="Arial" w:cs="Arial"/>
                <w:b/>
              </w:rPr>
              <w:t>Significant individuals</w:t>
            </w:r>
          </w:p>
        </w:tc>
      </w:tr>
      <w:tr w:rsidR="00441301" w:rsidRPr="00315DE2" w:rsidTr="00315DE2">
        <w:tc>
          <w:tcPr>
            <w:tcW w:w="3528" w:type="dxa"/>
            <w:shd w:val="clear" w:color="auto" w:fill="auto"/>
            <w:vAlign w:val="center"/>
          </w:tcPr>
          <w:p w:rsidR="00441301" w:rsidRPr="00315DE2" w:rsidRDefault="00210121" w:rsidP="00315DE2">
            <w:pPr>
              <w:spacing w:after="0" w:line="360" w:lineRule="auto"/>
              <w:rPr>
                <w:rFonts w:ascii="Arial" w:hAnsi="Arial" w:cs="Arial"/>
              </w:rPr>
            </w:pPr>
            <w:r w:rsidRPr="00315DE2">
              <w:rPr>
                <w:rFonts w:ascii="Arial" w:hAnsi="Arial" w:cs="Arial"/>
              </w:rPr>
              <w:t>Proclamation Line</w:t>
            </w:r>
          </w:p>
        </w:tc>
        <w:tc>
          <w:tcPr>
            <w:tcW w:w="2790" w:type="dxa"/>
            <w:shd w:val="clear" w:color="auto" w:fill="auto"/>
            <w:vAlign w:val="center"/>
          </w:tcPr>
          <w:p w:rsidR="00441301" w:rsidRPr="00315DE2" w:rsidRDefault="009535AD" w:rsidP="00315DE2">
            <w:pPr>
              <w:spacing w:after="0" w:line="360" w:lineRule="auto"/>
              <w:rPr>
                <w:rFonts w:ascii="Arial" w:hAnsi="Arial" w:cs="Arial"/>
              </w:rPr>
            </w:pPr>
            <w:r w:rsidRPr="00315DE2">
              <w:rPr>
                <w:rFonts w:ascii="Arial" w:hAnsi="Arial" w:cs="Arial"/>
              </w:rPr>
              <w:t>Loyal Nine</w:t>
            </w:r>
          </w:p>
        </w:tc>
        <w:tc>
          <w:tcPr>
            <w:tcW w:w="2912" w:type="dxa"/>
            <w:shd w:val="clear" w:color="auto" w:fill="auto"/>
            <w:vAlign w:val="center"/>
          </w:tcPr>
          <w:p w:rsidR="00441301" w:rsidRPr="00315DE2" w:rsidRDefault="008A73AD" w:rsidP="00315DE2">
            <w:pPr>
              <w:spacing w:after="0" w:line="360" w:lineRule="auto"/>
              <w:rPr>
                <w:rFonts w:ascii="Arial" w:hAnsi="Arial" w:cs="Arial"/>
              </w:rPr>
            </w:pPr>
            <w:r w:rsidRPr="00315DE2">
              <w:rPr>
                <w:rFonts w:ascii="Arial" w:hAnsi="Arial" w:cs="Arial"/>
              </w:rPr>
              <w:t>James Otis</w:t>
            </w:r>
          </w:p>
        </w:tc>
      </w:tr>
      <w:tr w:rsidR="00441301" w:rsidRPr="00315DE2" w:rsidTr="00315DE2">
        <w:tc>
          <w:tcPr>
            <w:tcW w:w="3528" w:type="dxa"/>
            <w:shd w:val="clear" w:color="auto" w:fill="auto"/>
            <w:vAlign w:val="center"/>
          </w:tcPr>
          <w:p w:rsidR="00441301" w:rsidRPr="00315DE2" w:rsidRDefault="00210121" w:rsidP="00315DE2">
            <w:pPr>
              <w:spacing w:after="0" w:line="360" w:lineRule="auto"/>
              <w:rPr>
                <w:rFonts w:ascii="Arial" w:hAnsi="Arial" w:cs="Arial"/>
              </w:rPr>
            </w:pPr>
            <w:r w:rsidRPr="00315DE2">
              <w:rPr>
                <w:rFonts w:ascii="Arial" w:hAnsi="Arial" w:cs="Arial"/>
              </w:rPr>
              <w:t>Pontiac’s Rebellion</w:t>
            </w:r>
          </w:p>
        </w:tc>
        <w:tc>
          <w:tcPr>
            <w:tcW w:w="2790" w:type="dxa"/>
            <w:shd w:val="clear" w:color="auto" w:fill="auto"/>
            <w:vAlign w:val="center"/>
          </w:tcPr>
          <w:p w:rsidR="00441301" w:rsidRPr="00315DE2" w:rsidRDefault="009535AD" w:rsidP="00315DE2">
            <w:pPr>
              <w:spacing w:after="0" w:line="360" w:lineRule="auto"/>
              <w:rPr>
                <w:rFonts w:ascii="Arial" w:hAnsi="Arial" w:cs="Arial"/>
              </w:rPr>
            </w:pPr>
            <w:r w:rsidRPr="00315DE2">
              <w:rPr>
                <w:rFonts w:ascii="Arial" w:hAnsi="Arial" w:cs="Arial"/>
              </w:rPr>
              <w:t>Sons of Liberty</w:t>
            </w:r>
          </w:p>
        </w:tc>
        <w:tc>
          <w:tcPr>
            <w:tcW w:w="2912" w:type="dxa"/>
            <w:shd w:val="clear" w:color="auto" w:fill="auto"/>
            <w:vAlign w:val="center"/>
          </w:tcPr>
          <w:p w:rsidR="00441301" w:rsidRPr="00315DE2" w:rsidRDefault="008A73AD" w:rsidP="00315DE2">
            <w:pPr>
              <w:spacing w:after="0" w:line="360" w:lineRule="auto"/>
              <w:rPr>
                <w:rFonts w:ascii="Arial" w:hAnsi="Arial" w:cs="Arial"/>
              </w:rPr>
            </w:pPr>
            <w:r w:rsidRPr="00315DE2">
              <w:rPr>
                <w:rFonts w:ascii="Arial" w:hAnsi="Arial" w:cs="Arial"/>
              </w:rPr>
              <w:t>John Hancock</w:t>
            </w:r>
          </w:p>
        </w:tc>
      </w:tr>
      <w:tr w:rsidR="00441301" w:rsidRPr="00315DE2" w:rsidTr="00315DE2">
        <w:tc>
          <w:tcPr>
            <w:tcW w:w="3528" w:type="dxa"/>
            <w:shd w:val="clear" w:color="auto" w:fill="auto"/>
            <w:vAlign w:val="center"/>
          </w:tcPr>
          <w:p w:rsidR="00441301" w:rsidRPr="00315DE2" w:rsidRDefault="00210121" w:rsidP="00315DE2">
            <w:pPr>
              <w:spacing w:after="0" w:line="360" w:lineRule="auto"/>
              <w:rPr>
                <w:rFonts w:ascii="Arial" w:hAnsi="Arial" w:cs="Arial"/>
                <w:i/>
              </w:rPr>
            </w:pPr>
            <w:r w:rsidRPr="00315DE2">
              <w:rPr>
                <w:rFonts w:ascii="Arial" w:hAnsi="Arial" w:cs="Arial"/>
                <w:i/>
              </w:rPr>
              <w:t>Sugar Act 1764</w:t>
            </w:r>
          </w:p>
        </w:tc>
        <w:tc>
          <w:tcPr>
            <w:tcW w:w="2790" w:type="dxa"/>
            <w:shd w:val="clear" w:color="auto" w:fill="auto"/>
            <w:vAlign w:val="center"/>
          </w:tcPr>
          <w:p w:rsidR="00441301" w:rsidRPr="00315DE2" w:rsidRDefault="00441301" w:rsidP="00315DE2">
            <w:pPr>
              <w:spacing w:after="0" w:line="360" w:lineRule="auto"/>
              <w:rPr>
                <w:rFonts w:ascii="Arial" w:hAnsi="Arial" w:cs="Arial"/>
              </w:rPr>
            </w:pPr>
          </w:p>
        </w:tc>
        <w:tc>
          <w:tcPr>
            <w:tcW w:w="2912" w:type="dxa"/>
            <w:shd w:val="clear" w:color="auto" w:fill="auto"/>
            <w:vAlign w:val="center"/>
          </w:tcPr>
          <w:p w:rsidR="00441301" w:rsidRPr="00315DE2" w:rsidRDefault="008A73AD" w:rsidP="00315DE2">
            <w:pPr>
              <w:spacing w:after="0" w:line="360" w:lineRule="auto"/>
              <w:rPr>
                <w:rFonts w:ascii="Arial" w:hAnsi="Arial" w:cs="Arial"/>
              </w:rPr>
            </w:pPr>
            <w:r w:rsidRPr="00315DE2">
              <w:rPr>
                <w:rFonts w:ascii="Arial" w:hAnsi="Arial" w:cs="Arial"/>
              </w:rPr>
              <w:t>Patrick Henry</w:t>
            </w:r>
          </w:p>
        </w:tc>
      </w:tr>
      <w:tr w:rsidR="00441301" w:rsidRPr="00315DE2" w:rsidTr="00315DE2">
        <w:tc>
          <w:tcPr>
            <w:tcW w:w="3528" w:type="dxa"/>
            <w:shd w:val="clear" w:color="auto" w:fill="auto"/>
            <w:vAlign w:val="center"/>
          </w:tcPr>
          <w:p w:rsidR="00441301" w:rsidRPr="00315DE2" w:rsidRDefault="00210121" w:rsidP="00315DE2">
            <w:pPr>
              <w:spacing w:after="0" w:line="360" w:lineRule="auto"/>
              <w:rPr>
                <w:rFonts w:ascii="Arial" w:hAnsi="Arial" w:cs="Arial"/>
                <w:i/>
              </w:rPr>
            </w:pPr>
            <w:r w:rsidRPr="00315DE2">
              <w:rPr>
                <w:rFonts w:ascii="Arial" w:hAnsi="Arial" w:cs="Arial"/>
                <w:i/>
              </w:rPr>
              <w:t>Stamp Act 1765</w:t>
            </w:r>
          </w:p>
        </w:tc>
        <w:tc>
          <w:tcPr>
            <w:tcW w:w="2790" w:type="dxa"/>
            <w:shd w:val="clear" w:color="auto" w:fill="auto"/>
            <w:vAlign w:val="center"/>
          </w:tcPr>
          <w:p w:rsidR="00441301" w:rsidRPr="00315DE2" w:rsidRDefault="00441301" w:rsidP="00315DE2">
            <w:pPr>
              <w:spacing w:after="0" w:line="360" w:lineRule="auto"/>
              <w:rPr>
                <w:rFonts w:ascii="Arial" w:hAnsi="Arial" w:cs="Arial"/>
              </w:rPr>
            </w:pPr>
          </w:p>
        </w:tc>
        <w:tc>
          <w:tcPr>
            <w:tcW w:w="2912" w:type="dxa"/>
            <w:shd w:val="clear" w:color="auto" w:fill="auto"/>
            <w:vAlign w:val="center"/>
          </w:tcPr>
          <w:p w:rsidR="00441301" w:rsidRPr="00315DE2" w:rsidRDefault="008A73AD" w:rsidP="00315DE2">
            <w:pPr>
              <w:spacing w:after="0" w:line="360" w:lineRule="auto"/>
              <w:rPr>
                <w:rFonts w:ascii="Arial" w:hAnsi="Arial" w:cs="Arial"/>
              </w:rPr>
            </w:pPr>
            <w:r w:rsidRPr="00315DE2">
              <w:rPr>
                <w:rFonts w:ascii="Arial" w:hAnsi="Arial" w:cs="Arial"/>
              </w:rPr>
              <w:t>Samuel Adams</w:t>
            </w:r>
          </w:p>
        </w:tc>
      </w:tr>
      <w:tr w:rsidR="00441301" w:rsidRPr="00315DE2" w:rsidTr="00315DE2">
        <w:tc>
          <w:tcPr>
            <w:tcW w:w="3528" w:type="dxa"/>
            <w:shd w:val="clear" w:color="auto" w:fill="auto"/>
            <w:vAlign w:val="center"/>
          </w:tcPr>
          <w:p w:rsidR="00441301" w:rsidRPr="00315DE2" w:rsidRDefault="00210121" w:rsidP="00315DE2">
            <w:pPr>
              <w:spacing w:after="0" w:line="360" w:lineRule="auto"/>
              <w:rPr>
                <w:rFonts w:ascii="Arial" w:hAnsi="Arial" w:cs="Arial"/>
                <w:i/>
              </w:rPr>
            </w:pPr>
            <w:r w:rsidRPr="00315DE2">
              <w:rPr>
                <w:rFonts w:ascii="Arial" w:hAnsi="Arial" w:cs="Arial"/>
                <w:i/>
              </w:rPr>
              <w:t>Declaratory Act 1766</w:t>
            </w:r>
          </w:p>
        </w:tc>
        <w:tc>
          <w:tcPr>
            <w:tcW w:w="2790" w:type="dxa"/>
            <w:shd w:val="clear" w:color="auto" w:fill="auto"/>
            <w:vAlign w:val="center"/>
          </w:tcPr>
          <w:p w:rsidR="00441301" w:rsidRPr="00315DE2" w:rsidRDefault="00441301" w:rsidP="00315DE2">
            <w:pPr>
              <w:spacing w:after="0" w:line="360" w:lineRule="auto"/>
              <w:rPr>
                <w:rFonts w:ascii="Arial" w:hAnsi="Arial" w:cs="Arial"/>
              </w:rPr>
            </w:pPr>
          </w:p>
        </w:tc>
        <w:tc>
          <w:tcPr>
            <w:tcW w:w="2912" w:type="dxa"/>
            <w:shd w:val="clear" w:color="auto" w:fill="auto"/>
            <w:vAlign w:val="center"/>
          </w:tcPr>
          <w:p w:rsidR="00441301" w:rsidRPr="00315DE2" w:rsidRDefault="00441301" w:rsidP="00315DE2">
            <w:pPr>
              <w:spacing w:after="0" w:line="360" w:lineRule="auto"/>
              <w:rPr>
                <w:rFonts w:ascii="Arial" w:hAnsi="Arial" w:cs="Arial"/>
              </w:rPr>
            </w:pPr>
          </w:p>
        </w:tc>
      </w:tr>
      <w:tr w:rsidR="00441301" w:rsidRPr="00315DE2" w:rsidTr="00315DE2">
        <w:tc>
          <w:tcPr>
            <w:tcW w:w="3528" w:type="dxa"/>
            <w:shd w:val="clear" w:color="auto" w:fill="auto"/>
            <w:vAlign w:val="center"/>
          </w:tcPr>
          <w:p w:rsidR="00441301" w:rsidRPr="00315DE2" w:rsidRDefault="00210121" w:rsidP="00315DE2">
            <w:pPr>
              <w:spacing w:after="0" w:line="360" w:lineRule="auto"/>
              <w:rPr>
                <w:rFonts w:ascii="Arial" w:hAnsi="Arial" w:cs="Arial"/>
              </w:rPr>
            </w:pPr>
            <w:r w:rsidRPr="00315DE2">
              <w:rPr>
                <w:rFonts w:ascii="Arial" w:hAnsi="Arial" w:cs="Arial"/>
              </w:rPr>
              <w:t>Virginia Resolves</w:t>
            </w:r>
          </w:p>
        </w:tc>
        <w:tc>
          <w:tcPr>
            <w:tcW w:w="2790" w:type="dxa"/>
            <w:shd w:val="clear" w:color="auto" w:fill="auto"/>
            <w:vAlign w:val="center"/>
          </w:tcPr>
          <w:p w:rsidR="00441301" w:rsidRPr="00315DE2" w:rsidRDefault="00441301" w:rsidP="00315DE2">
            <w:pPr>
              <w:spacing w:after="0" w:line="360" w:lineRule="auto"/>
              <w:rPr>
                <w:rFonts w:ascii="Arial" w:hAnsi="Arial" w:cs="Arial"/>
              </w:rPr>
            </w:pPr>
          </w:p>
        </w:tc>
        <w:tc>
          <w:tcPr>
            <w:tcW w:w="2912" w:type="dxa"/>
            <w:shd w:val="clear" w:color="auto" w:fill="auto"/>
            <w:vAlign w:val="center"/>
          </w:tcPr>
          <w:p w:rsidR="00441301" w:rsidRPr="00315DE2" w:rsidRDefault="00441301" w:rsidP="00315DE2">
            <w:pPr>
              <w:spacing w:after="0" w:line="360" w:lineRule="auto"/>
              <w:rPr>
                <w:rFonts w:ascii="Arial" w:hAnsi="Arial" w:cs="Arial"/>
              </w:rPr>
            </w:pPr>
          </w:p>
        </w:tc>
      </w:tr>
      <w:tr w:rsidR="00441301" w:rsidRPr="00315DE2" w:rsidTr="00315DE2">
        <w:tc>
          <w:tcPr>
            <w:tcW w:w="3528" w:type="dxa"/>
            <w:shd w:val="clear" w:color="auto" w:fill="auto"/>
            <w:vAlign w:val="center"/>
          </w:tcPr>
          <w:p w:rsidR="00441301" w:rsidRPr="00315DE2" w:rsidRDefault="00210121" w:rsidP="00315DE2">
            <w:pPr>
              <w:spacing w:after="0" w:line="360" w:lineRule="auto"/>
              <w:rPr>
                <w:rFonts w:ascii="Arial" w:hAnsi="Arial" w:cs="Arial"/>
              </w:rPr>
            </w:pPr>
            <w:r w:rsidRPr="00315DE2">
              <w:rPr>
                <w:rFonts w:ascii="Arial" w:hAnsi="Arial" w:cs="Arial"/>
              </w:rPr>
              <w:t>British Parliament</w:t>
            </w:r>
          </w:p>
        </w:tc>
        <w:tc>
          <w:tcPr>
            <w:tcW w:w="2790" w:type="dxa"/>
            <w:shd w:val="clear" w:color="auto" w:fill="auto"/>
            <w:vAlign w:val="center"/>
          </w:tcPr>
          <w:p w:rsidR="00441301" w:rsidRPr="00315DE2" w:rsidRDefault="00441301" w:rsidP="00315DE2">
            <w:pPr>
              <w:spacing w:after="0" w:line="360" w:lineRule="auto"/>
              <w:rPr>
                <w:rFonts w:ascii="Arial" w:hAnsi="Arial" w:cs="Arial"/>
              </w:rPr>
            </w:pPr>
          </w:p>
        </w:tc>
        <w:tc>
          <w:tcPr>
            <w:tcW w:w="2912" w:type="dxa"/>
            <w:shd w:val="clear" w:color="auto" w:fill="auto"/>
            <w:vAlign w:val="center"/>
          </w:tcPr>
          <w:p w:rsidR="00441301" w:rsidRPr="00315DE2" w:rsidRDefault="00441301" w:rsidP="00315DE2">
            <w:pPr>
              <w:spacing w:after="0" w:line="360" w:lineRule="auto"/>
              <w:rPr>
                <w:rFonts w:ascii="Arial" w:hAnsi="Arial" w:cs="Arial"/>
              </w:rPr>
            </w:pPr>
          </w:p>
        </w:tc>
      </w:tr>
    </w:tbl>
    <w:p w:rsidR="00083D77" w:rsidRPr="00083D77" w:rsidRDefault="00083D77" w:rsidP="00B1030F">
      <w:pPr>
        <w:spacing w:after="0" w:line="360" w:lineRule="auto"/>
        <w:rPr>
          <w:rFonts w:ascii="Arial" w:hAnsi="Arial" w:cs="Arial"/>
        </w:rPr>
      </w:pPr>
    </w:p>
    <w:p w:rsidR="00203D83" w:rsidRPr="00203D83" w:rsidRDefault="00203D83" w:rsidP="00B1030F">
      <w:pPr>
        <w:spacing w:after="0" w:line="360" w:lineRule="auto"/>
        <w:rPr>
          <w:rFonts w:ascii="Arial" w:hAnsi="Arial" w:cs="Arial"/>
          <w:b/>
          <w:sz w:val="24"/>
          <w:szCs w:val="24"/>
        </w:rPr>
      </w:pPr>
      <w:r>
        <w:rPr>
          <w:rFonts w:ascii="Arial" w:hAnsi="Arial" w:cs="Arial"/>
          <w:b/>
          <w:sz w:val="24"/>
          <w:szCs w:val="24"/>
        </w:rPr>
        <w:t>Practising paragraph answers</w:t>
      </w:r>
    </w:p>
    <w:p w:rsidR="00F15218" w:rsidRDefault="00F15218" w:rsidP="00A10FF5">
      <w:pPr>
        <w:pStyle w:val="Numeric"/>
        <w:spacing w:line="240" w:lineRule="auto"/>
        <w:rPr>
          <w:rFonts w:cs="Arial"/>
          <w:color w:val="211D1E"/>
          <w:szCs w:val="22"/>
        </w:rPr>
      </w:pPr>
      <w:r w:rsidRPr="00F15218">
        <w:rPr>
          <w:rFonts w:cs="Arial"/>
          <w:color w:val="211D1E"/>
          <w:szCs w:val="22"/>
        </w:rPr>
        <w:t xml:space="preserve">Using three or four points, explain the importance of the </w:t>
      </w:r>
      <w:r w:rsidRPr="0089421A">
        <w:rPr>
          <w:rFonts w:cs="Arial"/>
          <w:i/>
          <w:color w:val="211D1E"/>
          <w:szCs w:val="22"/>
        </w:rPr>
        <w:t>Stamp Act 1765</w:t>
      </w:r>
      <w:r w:rsidRPr="00F15218">
        <w:rPr>
          <w:rFonts w:cs="Arial"/>
          <w:color w:val="211D1E"/>
          <w:szCs w:val="22"/>
        </w:rPr>
        <w:t xml:space="preserve"> in the development of the American</w:t>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rFonts w:cs="Arial"/>
          <w:color w:val="211D1E"/>
          <w:szCs w:val="22"/>
        </w:rPr>
      </w:pPr>
    </w:p>
    <w:p w:rsidR="00481F33" w:rsidRDefault="00481F33" w:rsidP="00C633D2">
      <w:pPr>
        <w:pStyle w:val="Numeric"/>
        <w:spacing w:line="240" w:lineRule="auto"/>
        <w:rPr>
          <w:rFonts w:cs="Arial"/>
          <w:color w:val="211D1E"/>
          <w:szCs w:val="22"/>
        </w:rPr>
      </w:pPr>
      <w:r w:rsidRPr="00481F33">
        <w:rPr>
          <w:rFonts w:cs="Arial"/>
          <w:color w:val="211D1E"/>
          <w:szCs w:val="22"/>
        </w:rPr>
        <w:t xml:space="preserve">Using three or four points, explain how the </w:t>
      </w:r>
      <w:r w:rsidRPr="001A51FA">
        <w:rPr>
          <w:rFonts w:cs="Arial"/>
          <w:i/>
          <w:color w:val="211D1E"/>
          <w:szCs w:val="22"/>
        </w:rPr>
        <w:t>Sugar Act 1764</w:t>
      </w:r>
      <w:r w:rsidRPr="00481F33">
        <w:rPr>
          <w:rFonts w:cs="Arial"/>
          <w:color w:val="211D1E"/>
          <w:szCs w:val="22"/>
        </w:rPr>
        <w:t xml:space="preserve"> contributed to a revolutionary situation by 1776.</w:t>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rFonts w:cs="Arial"/>
          <w:color w:val="211D1E"/>
          <w:szCs w:val="22"/>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C176D3" w:rsidRDefault="00C176D3" w:rsidP="00C176D3">
      <w:pPr>
        <w:pStyle w:val="Numeric"/>
        <w:numPr>
          <w:ilvl w:val="0"/>
          <w:numId w:val="0"/>
        </w:numPr>
        <w:ind w:left="720"/>
        <w:rPr>
          <w:rFonts w:cs="Arial"/>
          <w:color w:val="211D1E"/>
          <w:szCs w:val="22"/>
        </w:rPr>
      </w:pPr>
    </w:p>
    <w:p w:rsidR="001A51FA" w:rsidRDefault="001A51FA" w:rsidP="00154911">
      <w:pPr>
        <w:pStyle w:val="Numeric"/>
        <w:spacing w:line="240" w:lineRule="auto"/>
        <w:rPr>
          <w:rFonts w:cs="Arial"/>
          <w:color w:val="211D1E"/>
          <w:szCs w:val="22"/>
        </w:rPr>
      </w:pPr>
      <w:r w:rsidRPr="001A51FA">
        <w:rPr>
          <w:rFonts w:cs="Arial"/>
          <w:color w:val="211D1E"/>
          <w:szCs w:val="22"/>
        </w:rPr>
        <w:t>On the VCAA website (access via http://cambridg</w:t>
      </w:r>
      <w:r w:rsidR="00CB064B">
        <w:rPr>
          <w:rFonts w:cs="Arial"/>
          <w:color w:val="211D1E"/>
          <w:szCs w:val="22"/>
        </w:rPr>
        <w:t>e.edu.au/redirect/?id=6106), fi</w:t>
      </w:r>
      <w:r w:rsidRPr="001A51FA">
        <w:rPr>
          <w:rFonts w:cs="Arial"/>
          <w:color w:val="211D1E"/>
          <w:szCs w:val="22"/>
        </w:rPr>
        <w:t>nd and respond to the 2011 VCE</w:t>
      </w:r>
      <w:r>
        <w:rPr>
          <w:rFonts w:cs="Arial"/>
          <w:color w:val="211D1E"/>
          <w:szCs w:val="22"/>
        </w:rPr>
        <w:t xml:space="preserve"> </w:t>
      </w:r>
      <w:r w:rsidRPr="001A51FA">
        <w:rPr>
          <w:rFonts w:cs="Arial"/>
          <w:color w:val="211D1E"/>
          <w:szCs w:val="22"/>
        </w:rPr>
        <w:t>exam question for Section B on America.</w:t>
      </w:r>
    </w:p>
    <w:p w:rsidR="00E76D64" w:rsidRDefault="00E76D64" w:rsidP="00E76D6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E76D64" w:rsidRDefault="00E76D64" w:rsidP="00E76D6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E76D64" w:rsidRDefault="00E76D64" w:rsidP="00E76D6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E76D64" w:rsidRDefault="00E76D64" w:rsidP="00E76D6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E76D64" w:rsidRDefault="00E76D64" w:rsidP="00E76D6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E76D64" w:rsidRDefault="00E76D64" w:rsidP="00E76D6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E76D64" w:rsidRDefault="00E76D64" w:rsidP="00E76D6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E76D64" w:rsidRDefault="00E76D64" w:rsidP="00E76D6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E76D64" w:rsidRDefault="00E76D64" w:rsidP="00E76D6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E76D64" w:rsidRDefault="00E76D64" w:rsidP="00E76D6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E76D64" w:rsidRDefault="00E76D64" w:rsidP="00E76D64">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E76D64" w:rsidRDefault="00E76D64" w:rsidP="00E76D64">
      <w:pPr>
        <w:pStyle w:val="Numeric"/>
        <w:numPr>
          <w:ilvl w:val="0"/>
          <w:numId w:val="0"/>
        </w:numPr>
        <w:ind w:left="720"/>
        <w:rPr>
          <w:rFonts w:cs="Arial"/>
          <w:color w:val="211D1E"/>
          <w:szCs w:val="22"/>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7879AA" w:rsidRDefault="007879AA" w:rsidP="00B1030F">
      <w:pPr>
        <w:pStyle w:val="HeadingB"/>
        <w:rPr>
          <w:lang w:val="en-US"/>
        </w:rPr>
      </w:pPr>
    </w:p>
    <w:p w:rsidR="00083D77" w:rsidRDefault="00083D77" w:rsidP="00B1030F">
      <w:pPr>
        <w:pStyle w:val="HeadingB"/>
        <w:rPr>
          <w:lang w:val="en-US"/>
        </w:rPr>
      </w:pPr>
      <w:r>
        <w:rPr>
          <w:lang w:val="en-US"/>
        </w:rPr>
        <w:t>Online research suggestions</w:t>
      </w:r>
    </w:p>
    <w:p w:rsidR="00083D77" w:rsidRPr="00673EB2" w:rsidRDefault="007414E7" w:rsidP="00A10FF5">
      <w:pPr>
        <w:pStyle w:val="Default"/>
        <w:spacing w:line="360" w:lineRule="auto"/>
        <w:rPr>
          <w:rFonts w:ascii="Arial" w:hAnsi="Arial" w:cs="Arial"/>
          <w:color w:val="211D1E"/>
          <w:sz w:val="22"/>
          <w:szCs w:val="22"/>
        </w:rPr>
      </w:pPr>
      <w:r w:rsidRPr="007414E7">
        <w:rPr>
          <w:rFonts w:ascii="Arial" w:hAnsi="Arial" w:cs="Arial"/>
          <w:color w:val="211D1E"/>
          <w:sz w:val="22"/>
          <w:szCs w:val="22"/>
        </w:rPr>
        <w:t>Alpha History (access via http://cambridge.edu.au/redirect/?id=6104)</w:t>
      </w:r>
    </w:p>
    <w:p w:rsidR="00083D77" w:rsidRPr="00083D77" w:rsidRDefault="00094BE8" w:rsidP="00A10FF5">
      <w:pPr>
        <w:pStyle w:val="Pa61"/>
        <w:spacing w:line="360" w:lineRule="auto"/>
        <w:ind w:left="360"/>
        <w:rPr>
          <w:rFonts w:ascii="Arial" w:hAnsi="Arial" w:cs="Arial"/>
          <w:color w:val="211D1E"/>
          <w:sz w:val="22"/>
          <w:szCs w:val="22"/>
        </w:rPr>
      </w:pPr>
      <w:r w:rsidRPr="00094BE8">
        <w:rPr>
          <w:rFonts w:ascii="Arial" w:hAnsi="Arial" w:cs="Arial"/>
          <w:color w:val="211D1E"/>
          <w:sz w:val="22"/>
          <w:szCs w:val="22"/>
        </w:rPr>
        <w:t>Under the drop-down menu ‘History Sites’, select ‘American Revolution’ to access numerous documents, images and</w:t>
      </w:r>
      <w:r>
        <w:rPr>
          <w:rFonts w:ascii="Arial" w:hAnsi="Arial" w:cs="Arial"/>
          <w:color w:val="211D1E"/>
          <w:sz w:val="22"/>
          <w:szCs w:val="22"/>
        </w:rPr>
        <w:t xml:space="preserve"> </w:t>
      </w:r>
      <w:r w:rsidRPr="00094BE8">
        <w:rPr>
          <w:rFonts w:ascii="Arial" w:hAnsi="Arial" w:cs="Arial"/>
          <w:color w:val="211D1E"/>
          <w:sz w:val="22"/>
          <w:szCs w:val="22"/>
        </w:rPr>
        <w:t>historiography that are tailored to each partic</w:t>
      </w:r>
      <w:r>
        <w:rPr>
          <w:rFonts w:ascii="Arial" w:hAnsi="Arial" w:cs="Arial"/>
          <w:color w:val="211D1E"/>
          <w:sz w:val="22"/>
          <w:szCs w:val="22"/>
        </w:rPr>
        <w:t>ular Area of Study. You will fi</w:t>
      </w:r>
      <w:r w:rsidRPr="00094BE8">
        <w:rPr>
          <w:rFonts w:ascii="Arial" w:hAnsi="Arial" w:cs="Arial"/>
          <w:color w:val="211D1E"/>
          <w:sz w:val="22"/>
          <w:szCs w:val="22"/>
        </w:rPr>
        <w:t>nd this a valuable resource. Both class time</w:t>
      </w:r>
      <w:r>
        <w:rPr>
          <w:rFonts w:ascii="Arial" w:hAnsi="Arial" w:cs="Arial"/>
          <w:color w:val="211D1E"/>
          <w:sz w:val="22"/>
          <w:szCs w:val="22"/>
        </w:rPr>
        <w:t xml:space="preserve"> </w:t>
      </w:r>
      <w:r w:rsidRPr="00094BE8">
        <w:rPr>
          <w:rFonts w:ascii="Arial" w:hAnsi="Arial" w:cs="Arial"/>
          <w:color w:val="211D1E"/>
          <w:sz w:val="22"/>
          <w:szCs w:val="22"/>
        </w:rPr>
        <w:t>and study time should be devoted to interpreting the images and documents on this site.</w:t>
      </w:r>
    </w:p>
    <w:p w:rsidR="00083D77" w:rsidRPr="00083D77" w:rsidRDefault="003D53D4" w:rsidP="00A10FF5">
      <w:pPr>
        <w:pStyle w:val="Pa61"/>
        <w:spacing w:line="360" w:lineRule="auto"/>
        <w:rPr>
          <w:rFonts w:ascii="Arial" w:hAnsi="Arial" w:cs="Arial"/>
          <w:color w:val="211D1E"/>
          <w:sz w:val="22"/>
          <w:szCs w:val="22"/>
        </w:rPr>
      </w:pPr>
      <w:r w:rsidRPr="00126D74">
        <w:rPr>
          <w:rFonts w:ascii="Arial" w:hAnsi="Arial" w:cs="Arial"/>
          <w:i/>
          <w:color w:val="211D1E"/>
          <w:sz w:val="22"/>
          <w:szCs w:val="22"/>
        </w:rPr>
        <w:t>Liberty</w:t>
      </w:r>
      <w:r w:rsidRPr="003D53D4">
        <w:rPr>
          <w:rFonts w:ascii="Arial" w:hAnsi="Arial" w:cs="Arial"/>
          <w:color w:val="211D1E"/>
          <w:sz w:val="22"/>
          <w:szCs w:val="22"/>
        </w:rPr>
        <w:t>, television series, PBS, Twin Cities Public Television, 1997.</w:t>
      </w:r>
    </w:p>
    <w:p w:rsidR="001F11E8" w:rsidRPr="00083D77" w:rsidRDefault="00EA1421" w:rsidP="001A2212">
      <w:pPr>
        <w:pStyle w:val="HeadingB"/>
        <w:ind w:left="360"/>
        <w:rPr>
          <w:b w:val="0"/>
          <w:color w:val="211D1E"/>
          <w:sz w:val="22"/>
          <w:szCs w:val="22"/>
        </w:rPr>
      </w:pPr>
      <w:r w:rsidRPr="00EA1421">
        <w:rPr>
          <w:b w:val="0"/>
          <w:color w:val="211D1E"/>
          <w:sz w:val="22"/>
          <w:szCs w:val="22"/>
        </w:rPr>
        <w:t>This is a highly recommended six-part series of one-hour episodes on the American Revolution. Episode 1, ‘Reluctant</w:t>
      </w:r>
      <w:r>
        <w:rPr>
          <w:b w:val="0"/>
          <w:color w:val="211D1E"/>
          <w:sz w:val="22"/>
          <w:szCs w:val="22"/>
        </w:rPr>
        <w:t xml:space="preserve"> </w:t>
      </w:r>
      <w:r w:rsidRPr="00EA1421">
        <w:rPr>
          <w:b w:val="0"/>
          <w:color w:val="211D1E"/>
          <w:sz w:val="22"/>
          <w:szCs w:val="22"/>
        </w:rPr>
        <w:t>Revolutionaries’, and Episode 2, ‘Blows Must Decide’, deal with the entire Area of Study One course. All six episodes</w:t>
      </w:r>
      <w:r>
        <w:rPr>
          <w:b w:val="0"/>
          <w:color w:val="211D1E"/>
          <w:sz w:val="22"/>
          <w:szCs w:val="22"/>
        </w:rPr>
        <w:t xml:space="preserve"> </w:t>
      </w:r>
      <w:r w:rsidRPr="00EA1421">
        <w:rPr>
          <w:b w:val="0"/>
          <w:color w:val="211D1E"/>
          <w:sz w:val="22"/>
          <w:szCs w:val="22"/>
        </w:rPr>
        <w:t>provide an excellent window into the American Revolution, but offer an extremely patriotic and one-sidedly positive</w:t>
      </w:r>
      <w:r>
        <w:rPr>
          <w:b w:val="0"/>
          <w:color w:val="211D1E"/>
          <w:sz w:val="22"/>
          <w:szCs w:val="22"/>
        </w:rPr>
        <w:t xml:space="preserve"> </w:t>
      </w:r>
      <w:r w:rsidRPr="00EA1421">
        <w:rPr>
          <w:b w:val="0"/>
          <w:color w:val="211D1E"/>
          <w:sz w:val="22"/>
          <w:szCs w:val="22"/>
        </w:rPr>
        <w:t>viewpoint. Leftist historians like Howard Zinn and James Loewen would argue strongly against many of its claims.</w:t>
      </w:r>
    </w:p>
    <w:sectPr w:rsidR="001F11E8" w:rsidRPr="00083D77" w:rsidSect="004D72F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AC" w:rsidRDefault="004355AC">
      <w:r>
        <w:separator/>
      </w:r>
    </w:p>
  </w:endnote>
  <w:endnote w:type="continuationSeparator" w:id="0">
    <w:p w:rsidR="004355AC" w:rsidRDefault="0043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DIN Neuzeit Grotesk Std Bold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3F7B" w:rsidRDefault="00063F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rsidP="0006197F">
    <w:pPr>
      <w:pStyle w:val="Header"/>
      <w:spacing w:after="0" w:line="240" w:lineRule="auto"/>
      <w:rPr>
        <w:b/>
      </w:rPr>
    </w:pPr>
  </w:p>
  <w:p w:rsidR="000D3614" w:rsidRPr="00683BDE" w:rsidRDefault="000D3614"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063F7B">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sidR="00083D77">
      <w:rPr>
        <w:rFonts w:ascii="Arial Narrow" w:hAnsi="Arial Narrow"/>
        <w:sz w:val="20"/>
        <w:szCs w:val="20"/>
      </w:rPr>
      <w:t>Toohey &amp; Butcher</w:t>
    </w:r>
    <w:r w:rsidR="00063F7B">
      <w:rPr>
        <w:rFonts w:ascii="Arial Narrow" w:hAnsi="Arial Narrow"/>
        <w:sz w:val="20"/>
        <w:szCs w:val="20"/>
      </w:rPr>
      <w:t xml:space="preserve">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3F7B" w:rsidRDefault="00063F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AC" w:rsidRDefault="004355AC">
      <w:r>
        <w:separator/>
      </w:r>
    </w:p>
  </w:footnote>
  <w:footnote w:type="continuationSeparator" w:id="0">
    <w:p w:rsidR="004355AC" w:rsidRDefault="004355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Pr="001D610B" w:rsidRDefault="00063F7B" w:rsidP="0006197F">
    <w:pPr>
      <w:pStyle w:val="Header"/>
      <w:spacing w:after="0" w:line="240" w:lineRule="auto"/>
      <w:rPr>
        <w:rFonts w:ascii="Arial Narrow" w:hAnsi="Arial Narrow" w:cs="Arial"/>
        <w:b/>
        <w:sz w:val="20"/>
        <w:szCs w:val="20"/>
      </w:rPr>
    </w:pPr>
    <w:r>
      <w:rPr>
        <w:noProof/>
        <w:lang w:val="en-US" w:eastAsia="en-US"/>
      </w:rPr>
      <w:drawing>
        <wp:anchor distT="0" distB="0" distL="114300" distR="114300" simplePos="0" relativeHeight="251658752" behindDoc="1" locked="0" layoutInCell="1" allowOverlap="1">
          <wp:simplePos x="0" y="0"/>
          <wp:positionH relativeFrom="column">
            <wp:posOffset>-949960</wp:posOffset>
          </wp:positionH>
          <wp:positionV relativeFrom="paragraph">
            <wp:posOffset>-14605</wp:posOffset>
          </wp:positionV>
          <wp:extent cx="7718425" cy="960755"/>
          <wp:effectExtent l="0" t="0" r="317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614" w:rsidRDefault="000D3614" w:rsidP="0006197F">
    <w:pPr>
      <w:pStyle w:val="Header"/>
      <w:spacing w:after="0" w:line="240" w:lineRule="auto"/>
      <w:rPr>
        <w:rFonts w:ascii="Arial Narrow" w:hAnsi="Arial Narrow" w:cs="Arial"/>
        <w:b/>
        <w:sz w:val="20"/>
        <w:szCs w:val="20"/>
      </w:rPr>
    </w:pPr>
  </w:p>
  <w:p w:rsidR="00083D77" w:rsidRDefault="00083D77" w:rsidP="00083D77">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D3614" w:rsidRDefault="000D3614" w:rsidP="0006197F">
    <w:pPr>
      <w:pStyle w:val="Header"/>
      <w:spacing w:after="0" w:line="240" w:lineRule="auto"/>
      <w:rPr>
        <w:rFonts w:ascii="Arial Narrow" w:hAnsi="Arial Narrow" w:cs="Arial"/>
        <w:b/>
        <w:sz w:val="20"/>
        <w:szCs w:val="20"/>
      </w:rPr>
    </w:pPr>
  </w:p>
  <w:p w:rsidR="00083D77" w:rsidRDefault="00083D77" w:rsidP="0006197F">
    <w:pPr>
      <w:pStyle w:val="Header"/>
      <w:spacing w:after="0" w:line="240" w:lineRule="auto"/>
      <w:rPr>
        <w:rFonts w:ascii="Arial Narrow" w:hAnsi="Arial Narrow" w:cs="Arial"/>
        <w:b/>
        <w:sz w:val="20"/>
        <w:szCs w:val="20"/>
      </w:rPr>
    </w:pPr>
  </w:p>
  <w:p w:rsidR="000D3614" w:rsidRPr="006F1828" w:rsidRDefault="000D3614" w:rsidP="0006197F">
    <w:pPr>
      <w:pStyle w:val="Header"/>
      <w:spacing w:after="0" w:line="240" w:lineRule="auto"/>
      <w:rPr>
        <w:rFonts w:ascii="Arial Narrow" w:hAnsi="Arial Narrow" w:cs="Arial"/>
        <w:b/>
        <w:sz w:val="20"/>
        <w:szCs w:val="20"/>
      </w:rPr>
    </w:pPr>
    <w:r>
      <w:rPr>
        <w:rFonts w:ascii="Arial Narrow" w:hAnsi="Arial Narrow" w:cs="Arial"/>
        <w:b/>
        <w:sz w:val="20"/>
        <w:szCs w:val="20"/>
      </w:rPr>
      <w:t xml:space="preserve">Chapter </w:t>
    </w:r>
    <w:r w:rsidR="00DB3D93">
      <w:rPr>
        <w:rFonts w:ascii="Arial Narrow" w:hAnsi="Arial Narrow" w:cs="Arial"/>
        <w:b/>
        <w:sz w:val="20"/>
        <w:szCs w:val="20"/>
      </w:rPr>
      <w:t>2</w:t>
    </w:r>
    <w:r>
      <w:rPr>
        <w:rFonts w:ascii="Arial Narrow" w:hAnsi="Arial Narrow" w:cs="Arial"/>
        <w:b/>
        <w:sz w:val="20"/>
        <w:szCs w:val="20"/>
      </w:rPr>
      <w:t xml:space="preserve"> </w:t>
    </w:r>
    <w:r w:rsidR="00DB3D93" w:rsidRPr="00DB3D93">
      <w:rPr>
        <w:rFonts w:ascii="Arial Narrow" w:hAnsi="Arial Narrow" w:cs="Arial"/>
        <w:b/>
        <w:sz w:val="20"/>
        <w:szCs w:val="20"/>
      </w:rPr>
      <w:t>Growing opposition to Britain, 1763–1766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D3614" w:rsidRDefault="000D3614">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B60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E4E75"/>
    <w:multiLevelType w:val="hybridMultilevel"/>
    <w:tmpl w:val="DF3EDE84"/>
    <w:lvl w:ilvl="0" w:tplc="487C42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61E41"/>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B3A35"/>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6927F0"/>
    <w:multiLevelType w:val="hybridMultilevel"/>
    <w:tmpl w:val="95B4A5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963362"/>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87373D"/>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DF5858"/>
    <w:multiLevelType w:val="multilevel"/>
    <w:tmpl w:val="95B4A5C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565616"/>
    <w:multiLevelType w:val="hybridMultilevel"/>
    <w:tmpl w:val="A9360FE0"/>
    <w:lvl w:ilvl="0" w:tplc="487C42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
  </w:num>
  <w:num w:numId="4">
    <w:abstractNumId w:val="14"/>
  </w:num>
  <w:num w:numId="5">
    <w:abstractNumId w:val="9"/>
  </w:num>
  <w:num w:numId="6">
    <w:abstractNumId w:val="11"/>
  </w:num>
  <w:num w:numId="7">
    <w:abstractNumId w:val="16"/>
  </w:num>
  <w:num w:numId="8">
    <w:abstractNumId w:val="16"/>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6"/>
  </w:num>
  <w:num w:numId="22">
    <w:abstractNumId w:val="10"/>
  </w:num>
  <w:num w:numId="23">
    <w:abstractNumId w:val="4"/>
  </w:num>
  <w:num w:numId="24">
    <w:abstractNumId w:val="8"/>
  </w:num>
  <w:num w:numId="25">
    <w:abstractNumId w:val="7"/>
  </w:num>
  <w:num w:numId="26">
    <w:abstractNumId w:val="12"/>
  </w:num>
  <w:num w:numId="27">
    <w:abstractNumId w:val="15"/>
  </w:num>
  <w:num w:numId="28">
    <w:abstractNumId w:val="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3C92"/>
    <w:rsid w:val="0006197F"/>
    <w:rsid w:val="000620EB"/>
    <w:rsid w:val="00063F7B"/>
    <w:rsid w:val="00083D77"/>
    <w:rsid w:val="00094BE8"/>
    <w:rsid w:val="000A2C2F"/>
    <w:rsid w:val="000D3614"/>
    <w:rsid w:val="000D7420"/>
    <w:rsid w:val="001101DD"/>
    <w:rsid w:val="00126D74"/>
    <w:rsid w:val="00154911"/>
    <w:rsid w:val="001758E1"/>
    <w:rsid w:val="00181107"/>
    <w:rsid w:val="001A2212"/>
    <w:rsid w:val="001A51FA"/>
    <w:rsid w:val="001B28CB"/>
    <w:rsid w:val="001F11E8"/>
    <w:rsid w:val="00203D83"/>
    <w:rsid w:val="002051CE"/>
    <w:rsid w:val="00210121"/>
    <w:rsid w:val="00220D4B"/>
    <w:rsid w:val="002678F0"/>
    <w:rsid w:val="002718F3"/>
    <w:rsid w:val="00272D97"/>
    <w:rsid w:val="00280F5E"/>
    <w:rsid w:val="00283319"/>
    <w:rsid w:val="002B04E9"/>
    <w:rsid w:val="002B1641"/>
    <w:rsid w:val="002B7685"/>
    <w:rsid w:val="00306BD4"/>
    <w:rsid w:val="00315DE2"/>
    <w:rsid w:val="00343A44"/>
    <w:rsid w:val="00381FEF"/>
    <w:rsid w:val="00385F50"/>
    <w:rsid w:val="00386178"/>
    <w:rsid w:val="003C334A"/>
    <w:rsid w:val="003D53D4"/>
    <w:rsid w:val="003E55E4"/>
    <w:rsid w:val="004113DC"/>
    <w:rsid w:val="004355AC"/>
    <w:rsid w:val="00441301"/>
    <w:rsid w:val="00481F33"/>
    <w:rsid w:val="004B4737"/>
    <w:rsid w:val="004D72FA"/>
    <w:rsid w:val="004F5039"/>
    <w:rsid w:val="00530379"/>
    <w:rsid w:val="00554429"/>
    <w:rsid w:val="005C5A1D"/>
    <w:rsid w:val="005D3D15"/>
    <w:rsid w:val="005E457E"/>
    <w:rsid w:val="00622987"/>
    <w:rsid w:val="00622E06"/>
    <w:rsid w:val="00636F57"/>
    <w:rsid w:val="00643C74"/>
    <w:rsid w:val="00673EB2"/>
    <w:rsid w:val="006A2F2E"/>
    <w:rsid w:val="006A3358"/>
    <w:rsid w:val="006A3AA5"/>
    <w:rsid w:val="006A6304"/>
    <w:rsid w:val="006B438E"/>
    <w:rsid w:val="00700415"/>
    <w:rsid w:val="007179F5"/>
    <w:rsid w:val="0072154E"/>
    <w:rsid w:val="007414E7"/>
    <w:rsid w:val="00786A11"/>
    <w:rsid w:val="007879AA"/>
    <w:rsid w:val="007B15F1"/>
    <w:rsid w:val="007F3D76"/>
    <w:rsid w:val="0082250F"/>
    <w:rsid w:val="00824FD7"/>
    <w:rsid w:val="00870A3B"/>
    <w:rsid w:val="0089421A"/>
    <w:rsid w:val="008A73AD"/>
    <w:rsid w:val="008B20B3"/>
    <w:rsid w:val="008B79C9"/>
    <w:rsid w:val="009535AD"/>
    <w:rsid w:val="00955B6B"/>
    <w:rsid w:val="009C2B27"/>
    <w:rsid w:val="009F7E07"/>
    <w:rsid w:val="00A00D7C"/>
    <w:rsid w:val="00A10FF5"/>
    <w:rsid w:val="00A52060"/>
    <w:rsid w:val="00AD2E39"/>
    <w:rsid w:val="00AE426B"/>
    <w:rsid w:val="00AF3E08"/>
    <w:rsid w:val="00B04168"/>
    <w:rsid w:val="00B1030F"/>
    <w:rsid w:val="00B41B36"/>
    <w:rsid w:val="00B83552"/>
    <w:rsid w:val="00BF4D33"/>
    <w:rsid w:val="00BF6410"/>
    <w:rsid w:val="00C07F3F"/>
    <w:rsid w:val="00C104DD"/>
    <w:rsid w:val="00C176D3"/>
    <w:rsid w:val="00C230F4"/>
    <w:rsid w:val="00C633D2"/>
    <w:rsid w:val="00C95E05"/>
    <w:rsid w:val="00CB064B"/>
    <w:rsid w:val="00D37FCB"/>
    <w:rsid w:val="00D76F3E"/>
    <w:rsid w:val="00DB3D93"/>
    <w:rsid w:val="00DC6CE0"/>
    <w:rsid w:val="00DD255C"/>
    <w:rsid w:val="00DD2D1A"/>
    <w:rsid w:val="00E721DF"/>
    <w:rsid w:val="00E76D64"/>
    <w:rsid w:val="00EA1421"/>
    <w:rsid w:val="00EB0C6E"/>
    <w:rsid w:val="00EE2380"/>
    <w:rsid w:val="00F100DC"/>
    <w:rsid w:val="00F13E53"/>
    <w:rsid w:val="00F15218"/>
    <w:rsid w:val="00F22996"/>
    <w:rsid w:val="00F41752"/>
    <w:rsid w:val="00F453F4"/>
    <w:rsid w:val="00FC4593"/>
    <w:rsid w:val="00FE25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lang w:val="en-US"/>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29">
    <w:name w:val="Pa29"/>
    <w:basedOn w:val="Default"/>
    <w:next w:val="Default"/>
    <w:uiPriority w:val="99"/>
    <w:rsid w:val="00083D77"/>
    <w:pPr>
      <w:spacing w:line="205" w:lineRule="atLeast"/>
    </w:pPr>
    <w:rPr>
      <w:rFonts w:cs="Times New Roman"/>
      <w:color w:val="auto"/>
    </w:rPr>
  </w:style>
  <w:style w:type="paragraph" w:customStyle="1" w:styleId="Pa59">
    <w:name w:val="Pa59"/>
    <w:basedOn w:val="Default"/>
    <w:next w:val="Default"/>
    <w:uiPriority w:val="99"/>
    <w:rsid w:val="00083D77"/>
    <w:pPr>
      <w:spacing w:line="205" w:lineRule="atLeast"/>
    </w:pPr>
    <w:rPr>
      <w:rFonts w:cs="Times New Roman"/>
      <w:color w:val="auto"/>
    </w:rPr>
  </w:style>
  <w:style w:type="paragraph" w:customStyle="1" w:styleId="Pa61">
    <w:name w:val="Pa61"/>
    <w:basedOn w:val="Default"/>
    <w:next w:val="Default"/>
    <w:uiPriority w:val="99"/>
    <w:rsid w:val="00083D77"/>
    <w:pPr>
      <w:spacing w:line="205" w:lineRule="atLeast"/>
    </w:pPr>
    <w:rPr>
      <w:rFonts w:cs="Times New Roman"/>
      <w:color w:val="auto"/>
    </w:rPr>
  </w:style>
  <w:style w:type="paragraph" w:customStyle="1" w:styleId="Pa63">
    <w:name w:val="Pa63"/>
    <w:basedOn w:val="Default"/>
    <w:next w:val="Default"/>
    <w:uiPriority w:val="99"/>
    <w:rsid w:val="00083D77"/>
    <w:pPr>
      <w:spacing w:line="321" w:lineRule="atLeast"/>
    </w:pPr>
    <w:rPr>
      <w:rFonts w:ascii="DIN Neuzeit Grotesk Std Bold Cn" w:hAnsi="DIN Neuzeit Grotesk Std Bold Cn"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lang w:val="en-US"/>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29">
    <w:name w:val="Pa29"/>
    <w:basedOn w:val="Default"/>
    <w:next w:val="Default"/>
    <w:uiPriority w:val="99"/>
    <w:rsid w:val="00083D77"/>
    <w:pPr>
      <w:spacing w:line="205" w:lineRule="atLeast"/>
    </w:pPr>
    <w:rPr>
      <w:rFonts w:cs="Times New Roman"/>
      <w:color w:val="auto"/>
    </w:rPr>
  </w:style>
  <w:style w:type="paragraph" w:customStyle="1" w:styleId="Pa59">
    <w:name w:val="Pa59"/>
    <w:basedOn w:val="Default"/>
    <w:next w:val="Default"/>
    <w:uiPriority w:val="99"/>
    <w:rsid w:val="00083D77"/>
    <w:pPr>
      <w:spacing w:line="205" w:lineRule="atLeast"/>
    </w:pPr>
    <w:rPr>
      <w:rFonts w:cs="Times New Roman"/>
      <w:color w:val="auto"/>
    </w:rPr>
  </w:style>
  <w:style w:type="paragraph" w:customStyle="1" w:styleId="Pa61">
    <w:name w:val="Pa61"/>
    <w:basedOn w:val="Default"/>
    <w:next w:val="Default"/>
    <w:uiPriority w:val="99"/>
    <w:rsid w:val="00083D77"/>
    <w:pPr>
      <w:spacing w:line="205" w:lineRule="atLeast"/>
    </w:pPr>
    <w:rPr>
      <w:rFonts w:cs="Times New Roman"/>
      <w:color w:val="auto"/>
    </w:rPr>
  </w:style>
  <w:style w:type="paragraph" w:customStyle="1" w:styleId="Pa63">
    <w:name w:val="Pa63"/>
    <w:basedOn w:val="Default"/>
    <w:next w:val="Default"/>
    <w:uiPriority w:val="99"/>
    <w:rsid w:val="00083D77"/>
    <w:pPr>
      <w:spacing w:line="321" w:lineRule="atLeast"/>
    </w:pPr>
    <w:rPr>
      <w:rFonts w:ascii="DIN Neuzeit Grotesk Std Bold Cn" w:hAnsi="DIN Neuzeit Grotesk Std Bol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A7A9-50CD-F54A-96F1-8EE072A9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2015-11-05T23:36:00Z</dcterms:created>
  <dcterms:modified xsi:type="dcterms:W3CDTF">2015-11-05T23:36:00Z</dcterms:modified>
</cp:coreProperties>
</file>