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FF" w:rsidRPr="00E24E72" w:rsidRDefault="00145679">
      <w:pPr>
        <w:rPr>
          <w:b/>
        </w:rPr>
      </w:pPr>
      <w:proofErr w:type="gramStart"/>
      <w:r w:rsidRPr="00E24E72">
        <w:rPr>
          <w:b/>
        </w:rPr>
        <w:t>Models useful for completing different parts of Assignment</w:t>
      </w:r>
      <w:r w:rsidR="00E24E72">
        <w:rPr>
          <w:b/>
        </w:rPr>
        <w:t>, Part</w:t>
      </w:r>
      <w:r w:rsidRPr="00E24E72">
        <w:rPr>
          <w:b/>
        </w:rPr>
        <w:t xml:space="preserve"> 1.</w:t>
      </w:r>
      <w:proofErr w:type="gramEnd"/>
    </w:p>
    <w:p w:rsidR="00145679" w:rsidRDefault="0014567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081"/>
        <w:gridCol w:w="3081"/>
      </w:tblGrid>
      <w:tr w:rsidR="00145679" w:rsidRPr="00B865D8" w:rsidTr="00BA31AC">
        <w:tc>
          <w:tcPr>
            <w:tcW w:w="9242" w:type="dxa"/>
            <w:gridSpan w:val="3"/>
          </w:tcPr>
          <w:p w:rsidR="00145679" w:rsidRPr="00B865D8" w:rsidRDefault="00145679" w:rsidP="00BA31AC">
            <w:pPr>
              <w:rPr>
                <w:rFonts w:ascii="Arial" w:hAnsi="Arial" w:cs="Arial"/>
                <w:sz w:val="20"/>
                <w:szCs w:val="20"/>
                <w:lang w:val="en-US"/>
              </w:rPr>
            </w:pPr>
            <w:r>
              <w:t>I have keyed models and page numbers into the different ‘bits’.  Not all will be useful or used by students.  But this is what is available to them if they look in the text.</w:t>
            </w:r>
          </w:p>
        </w:tc>
      </w:tr>
      <w:tr w:rsidR="00145679" w:rsidRPr="00B865D8" w:rsidTr="00BA31AC">
        <w:tc>
          <w:tcPr>
            <w:tcW w:w="3080"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Area</w:t>
            </w:r>
          </w:p>
        </w:tc>
        <w:tc>
          <w:tcPr>
            <w:tcW w:w="3081"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Model</w:t>
            </w:r>
          </w:p>
        </w:tc>
        <w:tc>
          <w:tcPr>
            <w:tcW w:w="3081"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 xml:space="preserve">Model </w:t>
            </w:r>
          </w:p>
        </w:tc>
      </w:tr>
      <w:tr w:rsidR="00145679" w:rsidRPr="00B865D8" w:rsidTr="00BA31AC">
        <w:tc>
          <w:tcPr>
            <w:tcW w:w="3080"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 xml:space="preserve">General overview </w:t>
            </w:r>
            <w:r>
              <w:rPr>
                <w:rFonts w:ascii="Arial" w:hAnsi="Arial" w:cs="Arial"/>
                <w:sz w:val="20"/>
                <w:szCs w:val="20"/>
                <w:lang w:val="en-US"/>
              </w:rPr>
              <w:t>– strategic planning process Fig. 2.1 (p.37)</w:t>
            </w:r>
          </w:p>
        </w:tc>
        <w:tc>
          <w:tcPr>
            <w:tcW w:w="3081" w:type="dxa"/>
          </w:tcPr>
          <w:p w:rsidR="00145679" w:rsidRDefault="00145679" w:rsidP="00BA31AC">
            <w:pPr>
              <w:rPr>
                <w:rFonts w:ascii="Arial" w:hAnsi="Arial" w:cs="Arial"/>
                <w:sz w:val="20"/>
                <w:szCs w:val="20"/>
                <w:lang w:val="en-US"/>
              </w:rPr>
            </w:pPr>
            <w:r w:rsidRPr="00B865D8">
              <w:rPr>
                <w:rFonts w:ascii="Arial" w:hAnsi="Arial" w:cs="Arial"/>
                <w:sz w:val="20"/>
                <w:szCs w:val="20"/>
                <w:lang w:val="en-US"/>
              </w:rPr>
              <w:t xml:space="preserve">Macro </w:t>
            </w:r>
            <w:r>
              <w:rPr>
                <w:rFonts w:ascii="Arial" w:hAnsi="Arial" w:cs="Arial"/>
                <w:sz w:val="20"/>
                <w:szCs w:val="20"/>
                <w:lang w:val="en-US"/>
              </w:rPr>
              <w:t>analysis</w:t>
            </w: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r>
              <w:rPr>
                <w:rFonts w:ascii="Arial" w:hAnsi="Arial" w:cs="Arial"/>
                <w:sz w:val="20"/>
                <w:szCs w:val="20"/>
                <w:lang w:val="en-US"/>
              </w:rPr>
              <w:t>PLC of product in country – Fig 8.9 (p.279)</w:t>
            </w: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p>
          <w:p w:rsidR="00145679" w:rsidRPr="00B865D8" w:rsidRDefault="00145679" w:rsidP="00BA31AC">
            <w:pPr>
              <w:rPr>
                <w:rFonts w:ascii="Arial" w:hAnsi="Arial" w:cs="Arial"/>
                <w:sz w:val="20"/>
                <w:szCs w:val="20"/>
                <w:lang w:val="en-US"/>
              </w:rPr>
            </w:pPr>
            <w:r>
              <w:rPr>
                <w:rFonts w:ascii="Arial" w:hAnsi="Arial" w:cs="Arial"/>
                <w:sz w:val="20"/>
                <w:szCs w:val="20"/>
                <w:lang w:val="en-US"/>
              </w:rPr>
              <w:t xml:space="preserve">definition of competitive space – market boundaries </w:t>
            </w:r>
          </w:p>
        </w:tc>
        <w:tc>
          <w:tcPr>
            <w:tcW w:w="3081" w:type="dxa"/>
          </w:tcPr>
          <w:p w:rsidR="00145679" w:rsidRDefault="00145679" w:rsidP="00BA31AC">
            <w:pPr>
              <w:rPr>
                <w:rFonts w:ascii="Arial" w:hAnsi="Arial" w:cs="Arial"/>
                <w:sz w:val="20"/>
                <w:szCs w:val="20"/>
                <w:lang w:val="en-US"/>
              </w:rPr>
            </w:pPr>
            <w:r>
              <w:rPr>
                <w:rFonts w:ascii="Arial" w:hAnsi="Arial" w:cs="Arial"/>
                <w:sz w:val="20"/>
                <w:szCs w:val="20"/>
                <w:lang w:val="en-US"/>
              </w:rPr>
              <w:t>PEST – Table 3.1 p.67 and Table 3.2 p.68</w:t>
            </w:r>
          </w:p>
          <w:p w:rsidR="00145679" w:rsidRDefault="00145679" w:rsidP="00BA31AC">
            <w:pPr>
              <w:rPr>
                <w:rFonts w:ascii="Arial" w:hAnsi="Arial" w:cs="Arial"/>
                <w:sz w:val="20"/>
                <w:szCs w:val="20"/>
                <w:lang w:val="en-US"/>
              </w:rPr>
            </w:pPr>
            <w:r>
              <w:rPr>
                <w:rFonts w:ascii="Arial" w:hAnsi="Arial" w:cs="Arial"/>
                <w:sz w:val="20"/>
                <w:szCs w:val="20"/>
                <w:lang w:val="en-US"/>
              </w:rPr>
              <w:t>Trend analysis Figs 3.1 $ 3.2</w:t>
            </w: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r w:rsidRPr="00B865D8">
              <w:rPr>
                <w:rFonts w:ascii="Arial" w:hAnsi="Arial" w:cs="Arial"/>
                <w:sz w:val="20"/>
                <w:szCs w:val="20"/>
                <w:lang w:val="en-US"/>
              </w:rPr>
              <w:t>Market attractiveness</w:t>
            </w:r>
            <w:r>
              <w:rPr>
                <w:rFonts w:ascii="Arial" w:hAnsi="Arial" w:cs="Arial"/>
                <w:sz w:val="20"/>
                <w:szCs w:val="20"/>
                <w:lang w:val="en-US"/>
              </w:rPr>
              <w:t xml:space="preserve"> models and requirements </w:t>
            </w:r>
          </w:p>
          <w:p w:rsidR="00145679"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r>
              <w:rPr>
                <w:rFonts w:ascii="Arial" w:hAnsi="Arial" w:cs="Arial"/>
                <w:sz w:val="20"/>
                <w:szCs w:val="20"/>
                <w:lang w:val="en-US"/>
              </w:rPr>
              <w:t xml:space="preserve">PLC – Table 8.1 p. 172 gives stages </w:t>
            </w:r>
          </w:p>
          <w:p w:rsidR="00145679" w:rsidRDefault="00145679" w:rsidP="00BA31AC">
            <w:pPr>
              <w:rPr>
                <w:rFonts w:ascii="Arial" w:hAnsi="Arial" w:cs="Arial"/>
                <w:sz w:val="20"/>
                <w:szCs w:val="20"/>
                <w:lang w:val="en-US"/>
              </w:rPr>
            </w:pPr>
            <w:r>
              <w:rPr>
                <w:rFonts w:ascii="Arial" w:hAnsi="Arial" w:cs="Arial"/>
                <w:sz w:val="20"/>
                <w:szCs w:val="20"/>
                <w:lang w:val="en-US"/>
              </w:rPr>
              <w:t>PLC – Table 6.1 p. 125 gives KSF for each stage</w:t>
            </w:r>
          </w:p>
          <w:p w:rsidR="00145679" w:rsidRDefault="00145679" w:rsidP="00BA31AC">
            <w:pPr>
              <w:rPr>
                <w:rFonts w:ascii="Arial" w:hAnsi="Arial" w:cs="Arial"/>
                <w:sz w:val="20"/>
                <w:szCs w:val="20"/>
                <w:lang w:val="en-US"/>
              </w:rPr>
            </w:pPr>
            <w:r>
              <w:rPr>
                <w:rFonts w:ascii="Arial" w:hAnsi="Arial" w:cs="Arial"/>
                <w:sz w:val="20"/>
                <w:szCs w:val="20"/>
                <w:lang w:val="en-US"/>
              </w:rPr>
              <w:t>PLC p.169-9 gives adopter groups</w:t>
            </w:r>
          </w:p>
          <w:p w:rsidR="00145679" w:rsidRDefault="00145679" w:rsidP="00BA31AC">
            <w:pPr>
              <w:rPr>
                <w:rFonts w:ascii="Arial" w:hAnsi="Arial" w:cs="Arial"/>
                <w:sz w:val="20"/>
                <w:szCs w:val="20"/>
                <w:lang w:val="en-US"/>
              </w:rPr>
            </w:pPr>
            <w:r>
              <w:rPr>
                <w:rFonts w:ascii="Arial" w:hAnsi="Arial" w:cs="Arial"/>
                <w:sz w:val="20"/>
                <w:szCs w:val="20"/>
                <w:lang w:val="en-US"/>
              </w:rPr>
              <w:t>PLC p. 80-4 gives competition through the stages</w:t>
            </w:r>
          </w:p>
          <w:p w:rsidR="00145679" w:rsidRDefault="00145679" w:rsidP="00BA31AC">
            <w:pPr>
              <w:rPr>
                <w:rFonts w:ascii="Arial" w:hAnsi="Arial" w:cs="Arial"/>
                <w:sz w:val="20"/>
                <w:szCs w:val="20"/>
                <w:lang w:val="en-US"/>
              </w:rPr>
            </w:pPr>
            <w:r>
              <w:rPr>
                <w:rFonts w:ascii="Arial" w:hAnsi="Arial" w:cs="Arial"/>
                <w:sz w:val="20"/>
                <w:szCs w:val="20"/>
                <w:lang w:val="en-US"/>
              </w:rPr>
              <w:t>PLC p. 171-2 gives international PLC</w:t>
            </w:r>
          </w:p>
          <w:p w:rsidR="00145679" w:rsidRDefault="00145679" w:rsidP="00BA31AC">
            <w:pPr>
              <w:rPr>
                <w:rFonts w:ascii="Arial" w:hAnsi="Arial" w:cs="Arial"/>
                <w:sz w:val="20"/>
                <w:szCs w:val="20"/>
                <w:lang w:val="en-US"/>
              </w:rPr>
            </w:pPr>
            <w:r>
              <w:rPr>
                <w:rFonts w:ascii="Arial" w:hAnsi="Arial" w:cs="Arial"/>
                <w:sz w:val="20"/>
                <w:szCs w:val="20"/>
                <w:lang w:val="en-US"/>
              </w:rPr>
              <w:t>PLC Table 12.1 p.251-4 gives business structures appropriate for each stage of PLC</w:t>
            </w:r>
          </w:p>
          <w:p w:rsidR="00145679" w:rsidRDefault="00145679" w:rsidP="00BA31AC">
            <w:pPr>
              <w:rPr>
                <w:rFonts w:ascii="Arial" w:hAnsi="Arial" w:cs="Arial"/>
                <w:sz w:val="20"/>
                <w:szCs w:val="20"/>
                <w:lang w:val="en-US"/>
              </w:rPr>
            </w:pPr>
          </w:p>
          <w:p w:rsidR="00145679" w:rsidRPr="00C3024B" w:rsidRDefault="00145679" w:rsidP="00BA31AC">
            <w:pPr>
              <w:rPr>
                <w:rFonts w:ascii="Arial" w:hAnsi="Arial" w:cs="Arial"/>
                <w:sz w:val="20"/>
                <w:szCs w:val="20"/>
                <w:lang w:val="sv-SE"/>
              </w:rPr>
            </w:pPr>
            <w:r w:rsidRPr="00C3024B">
              <w:rPr>
                <w:rFonts w:ascii="Arial" w:hAnsi="Arial" w:cs="Arial"/>
                <w:sz w:val="20"/>
                <w:szCs w:val="20"/>
                <w:lang w:val="sv-SE"/>
              </w:rPr>
              <w:t xml:space="preserve">- BCG Fig. </w:t>
            </w:r>
            <w:r>
              <w:rPr>
                <w:rFonts w:ascii="Arial" w:hAnsi="Arial" w:cs="Arial"/>
                <w:sz w:val="20"/>
                <w:szCs w:val="20"/>
                <w:lang w:val="sv-SE"/>
              </w:rPr>
              <w:t>7.3 (p.148</w:t>
            </w:r>
            <w:r w:rsidRPr="00C3024B">
              <w:rPr>
                <w:rFonts w:ascii="Arial" w:hAnsi="Arial" w:cs="Arial"/>
                <w:sz w:val="20"/>
                <w:szCs w:val="20"/>
                <w:lang w:val="sv-SE"/>
              </w:rPr>
              <w:t>)</w:t>
            </w:r>
          </w:p>
          <w:p w:rsidR="00145679" w:rsidRDefault="00145679" w:rsidP="00BA31AC">
            <w:pPr>
              <w:rPr>
                <w:rFonts w:ascii="Arial" w:hAnsi="Arial" w:cs="Arial"/>
                <w:sz w:val="20"/>
                <w:szCs w:val="20"/>
                <w:lang w:val="en-US"/>
              </w:rPr>
            </w:pPr>
            <w:r w:rsidRPr="00C3024B">
              <w:rPr>
                <w:rFonts w:ascii="Arial" w:hAnsi="Arial" w:cs="Arial"/>
                <w:sz w:val="20"/>
                <w:szCs w:val="20"/>
                <w:lang w:val="sv-SE"/>
              </w:rPr>
              <w:t>-</w:t>
            </w:r>
            <w:r>
              <w:rPr>
                <w:rFonts w:ascii="Arial" w:hAnsi="Arial" w:cs="Arial"/>
                <w:sz w:val="20"/>
                <w:szCs w:val="20"/>
                <w:lang w:val="sv-SE"/>
              </w:rPr>
              <w:t>Multifactor portfolios (e.g., GE Matrix, Shell Matrix) – generic one available Fig.7.4 p. 153</w:t>
            </w:r>
          </w:p>
          <w:p w:rsidR="00145679" w:rsidRDefault="00145679" w:rsidP="00BA31AC">
            <w:pPr>
              <w:rPr>
                <w:rFonts w:ascii="Arial" w:hAnsi="Arial" w:cs="Arial"/>
                <w:sz w:val="20"/>
                <w:szCs w:val="20"/>
                <w:lang w:val="en-US"/>
              </w:rPr>
            </w:pPr>
            <w:r>
              <w:rPr>
                <w:rFonts w:ascii="Arial" w:hAnsi="Arial" w:cs="Arial"/>
                <w:sz w:val="20"/>
                <w:szCs w:val="20"/>
                <w:lang w:val="en-US"/>
              </w:rPr>
              <w:t>- also the excel spreadsheets available</w:t>
            </w:r>
          </w:p>
          <w:p w:rsidR="00145679" w:rsidRPr="00B865D8" w:rsidRDefault="00145679" w:rsidP="00BA31AC">
            <w:pPr>
              <w:rPr>
                <w:rFonts w:ascii="Arial" w:hAnsi="Arial" w:cs="Arial"/>
                <w:sz w:val="20"/>
                <w:szCs w:val="20"/>
                <w:lang w:val="en-US"/>
              </w:rPr>
            </w:pPr>
          </w:p>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Competition models (</w:t>
            </w:r>
            <w:r>
              <w:rPr>
                <w:rFonts w:ascii="Arial" w:hAnsi="Arial" w:cs="Arial"/>
                <w:sz w:val="20"/>
                <w:szCs w:val="20"/>
                <w:lang w:val="en-US"/>
              </w:rPr>
              <w:t>Porter’s Generic Strategies</w:t>
            </w:r>
            <w:r w:rsidRPr="00B865D8">
              <w:rPr>
                <w:rFonts w:ascii="Arial" w:hAnsi="Arial" w:cs="Arial"/>
                <w:sz w:val="20"/>
                <w:szCs w:val="20"/>
                <w:lang w:val="en-US"/>
              </w:rPr>
              <w:t>)</w:t>
            </w:r>
            <w:r>
              <w:rPr>
                <w:rFonts w:ascii="Arial" w:hAnsi="Arial" w:cs="Arial"/>
                <w:sz w:val="20"/>
                <w:szCs w:val="20"/>
                <w:lang w:val="en-US"/>
              </w:rPr>
              <w:t xml:space="preserve"> – (p.33-4)</w:t>
            </w:r>
          </w:p>
          <w:p w:rsidR="00145679" w:rsidRDefault="00145679" w:rsidP="00BA31AC">
            <w:pPr>
              <w:rPr>
                <w:rFonts w:ascii="Arial" w:hAnsi="Arial" w:cs="Arial"/>
                <w:sz w:val="20"/>
                <w:szCs w:val="20"/>
                <w:lang w:val="en-US"/>
              </w:rPr>
            </w:pPr>
            <w:r w:rsidRPr="00B865D8">
              <w:rPr>
                <w:rFonts w:ascii="Arial" w:hAnsi="Arial" w:cs="Arial"/>
                <w:sz w:val="20"/>
                <w:szCs w:val="20"/>
                <w:lang w:val="en-US"/>
              </w:rPr>
              <w:t>Barriers to entry (</w:t>
            </w:r>
            <w:r>
              <w:rPr>
                <w:rFonts w:ascii="Arial" w:hAnsi="Arial" w:cs="Arial"/>
                <w:sz w:val="20"/>
                <w:szCs w:val="20"/>
                <w:lang w:val="en-US"/>
              </w:rPr>
              <w:t xml:space="preserve">Porter’s Five </w:t>
            </w:r>
            <w:r>
              <w:rPr>
                <w:rFonts w:ascii="Arial" w:hAnsi="Arial" w:cs="Arial"/>
                <w:sz w:val="20"/>
                <w:szCs w:val="20"/>
                <w:lang w:val="en-US"/>
              </w:rPr>
              <w:lastRenderedPageBreak/>
              <w:t>Forces</w:t>
            </w:r>
            <w:r w:rsidRPr="00B865D8">
              <w:rPr>
                <w:rFonts w:ascii="Arial" w:hAnsi="Arial" w:cs="Arial"/>
                <w:sz w:val="20"/>
                <w:szCs w:val="20"/>
                <w:lang w:val="en-US"/>
              </w:rPr>
              <w:t>)</w:t>
            </w:r>
            <w:r>
              <w:rPr>
                <w:rFonts w:ascii="Arial" w:hAnsi="Arial" w:cs="Arial"/>
                <w:sz w:val="20"/>
                <w:szCs w:val="20"/>
                <w:lang w:val="en-US"/>
              </w:rPr>
              <w:t xml:space="preserve"> – Fig. 4.5 (p.93-5)</w:t>
            </w:r>
          </w:p>
          <w:p w:rsidR="00145679" w:rsidRPr="00B865D8" w:rsidRDefault="00145679" w:rsidP="00BA31AC">
            <w:pPr>
              <w:rPr>
                <w:rFonts w:ascii="Arial" w:hAnsi="Arial" w:cs="Arial"/>
                <w:sz w:val="20"/>
                <w:szCs w:val="20"/>
                <w:lang w:val="en-US"/>
              </w:rPr>
            </w:pPr>
            <w:r>
              <w:rPr>
                <w:rFonts w:ascii="Arial" w:hAnsi="Arial" w:cs="Arial"/>
                <w:sz w:val="20"/>
                <w:szCs w:val="20"/>
                <w:lang w:val="en-US"/>
              </w:rPr>
              <w:t>Porter’s value chain Fig.6.2 p.130-1</w:t>
            </w:r>
          </w:p>
        </w:tc>
      </w:tr>
      <w:tr w:rsidR="00145679" w:rsidRPr="00B865D8" w:rsidTr="00BA31AC">
        <w:tc>
          <w:tcPr>
            <w:tcW w:w="3080"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lastRenderedPageBreak/>
              <w:t>Customers</w:t>
            </w:r>
          </w:p>
        </w:tc>
        <w:tc>
          <w:tcPr>
            <w:tcW w:w="3081"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Market models</w:t>
            </w:r>
            <w:r>
              <w:rPr>
                <w:rFonts w:ascii="Arial" w:hAnsi="Arial" w:cs="Arial"/>
                <w:sz w:val="20"/>
                <w:szCs w:val="20"/>
                <w:lang w:val="en-US"/>
              </w:rPr>
              <w:t xml:space="preserve"> – perceptual mapping Fig 4.4 (p.91)</w:t>
            </w:r>
          </w:p>
        </w:tc>
        <w:tc>
          <w:tcPr>
            <w:tcW w:w="3081" w:type="dxa"/>
          </w:tcPr>
          <w:p w:rsidR="00145679" w:rsidRDefault="00145679" w:rsidP="00BA31AC">
            <w:pPr>
              <w:rPr>
                <w:rFonts w:ascii="Arial" w:hAnsi="Arial" w:cs="Arial"/>
                <w:sz w:val="20"/>
                <w:szCs w:val="20"/>
                <w:lang w:val="en-US"/>
              </w:rPr>
            </w:pPr>
            <w:r w:rsidRPr="00B865D8">
              <w:rPr>
                <w:rFonts w:ascii="Arial" w:hAnsi="Arial" w:cs="Arial"/>
                <w:sz w:val="20"/>
                <w:szCs w:val="20"/>
                <w:lang w:val="en-US"/>
              </w:rPr>
              <w:t>Segmentation models</w:t>
            </w:r>
            <w:r>
              <w:rPr>
                <w:rFonts w:ascii="Arial" w:hAnsi="Arial" w:cs="Arial"/>
                <w:sz w:val="20"/>
                <w:szCs w:val="20"/>
                <w:lang w:val="en-US"/>
              </w:rPr>
              <w:t xml:space="preserve"> – see </w:t>
            </w:r>
            <w:proofErr w:type="spellStart"/>
            <w:r>
              <w:rPr>
                <w:rFonts w:ascii="Arial" w:hAnsi="Arial" w:cs="Arial"/>
                <w:sz w:val="20"/>
                <w:szCs w:val="20"/>
                <w:lang w:val="en-US"/>
              </w:rPr>
              <w:t>chp</w:t>
            </w:r>
            <w:proofErr w:type="spellEnd"/>
            <w:r>
              <w:rPr>
                <w:rFonts w:ascii="Arial" w:hAnsi="Arial" w:cs="Arial"/>
                <w:sz w:val="20"/>
                <w:szCs w:val="20"/>
                <w:lang w:val="en-US"/>
              </w:rPr>
              <w:t xml:space="preserve"> 5, p.107-13</w:t>
            </w:r>
          </w:p>
          <w:p w:rsidR="00145679" w:rsidRPr="00B865D8" w:rsidRDefault="00145679" w:rsidP="00BA31AC">
            <w:pPr>
              <w:rPr>
                <w:rFonts w:ascii="Arial" w:hAnsi="Arial" w:cs="Arial"/>
                <w:sz w:val="20"/>
                <w:szCs w:val="20"/>
                <w:lang w:val="en-US"/>
              </w:rPr>
            </w:pPr>
          </w:p>
          <w:p w:rsidR="00145679" w:rsidRDefault="00145679" w:rsidP="00BA31AC">
            <w:pPr>
              <w:rPr>
                <w:rFonts w:ascii="Arial" w:hAnsi="Arial" w:cs="Arial"/>
                <w:sz w:val="20"/>
                <w:szCs w:val="20"/>
                <w:lang w:val="en-US"/>
              </w:rPr>
            </w:pPr>
            <w:r>
              <w:rPr>
                <w:rFonts w:ascii="Arial" w:hAnsi="Arial" w:cs="Arial"/>
                <w:sz w:val="20"/>
                <w:szCs w:val="20"/>
                <w:lang w:val="en-US"/>
              </w:rPr>
              <w:t>Market share metrics p.113-16</w:t>
            </w:r>
          </w:p>
          <w:p w:rsidR="00145679" w:rsidRPr="00B865D8" w:rsidRDefault="00145679" w:rsidP="00BA31AC">
            <w:pPr>
              <w:rPr>
                <w:rFonts w:ascii="Arial" w:hAnsi="Arial" w:cs="Arial"/>
                <w:sz w:val="20"/>
                <w:szCs w:val="20"/>
                <w:lang w:val="en-US"/>
              </w:rPr>
            </w:pPr>
          </w:p>
        </w:tc>
      </w:tr>
      <w:tr w:rsidR="00145679" w:rsidRPr="00B865D8" w:rsidTr="00BA31AC">
        <w:tc>
          <w:tcPr>
            <w:tcW w:w="3080"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Competition</w:t>
            </w:r>
          </w:p>
        </w:tc>
        <w:tc>
          <w:tcPr>
            <w:tcW w:w="3081" w:type="dxa"/>
          </w:tcPr>
          <w:p w:rsidR="00145679" w:rsidRDefault="00145679" w:rsidP="00BA31AC">
            <w:pPr>
              <w:rPr>
                <w:rFonts w:ascii="Arial" w:hAnsi="Arial" w:cs="Arial"/>
                <w:sz w:val="20"/>
                <w:szCs w:val="20"/>
                <w:lang w:val="en-US"/>
              </w:rPr>
            </w:pPr>
            <w:r w:rsidRPr="00B865D8">
              <w:rPr>
                <w:rFonts w:ascii="Arial" w:hAnsi="Arial" w:cs="Arial"/>
                <w:sz w:val="20"/>
                <w:szCs w:val="20"/>
                <w:lang w:val="en-US"/>
              </w:rPr>
              <w:t>Degree of competition (</w:t>
            </w:r>
            <w:r>
              <w:rPr>
                <w:rFonts w:ascii="Arial" w:hAnsi="Arial" w:cs="Arial"/>
                <w:sz w:val="20"/>
                <w:szCs w:val="20"/>
                <w:lang w:val="en-US"/>
              </w:rPr>
              <w:t>Porter’s Five Forces</w:t>
            </w:r>
            <w:r w:rsidRPr="00B865D8">
              <w:rPr>
                <w:rFonts w:ascii="Arial" w:hAnsi="Arial" w:cs="Arial"/>
                <w:sz w:val="20"/>
                <w:szCs w:val="20"/>
                <w:lang w:val="en-US"/>
              </w:rPr>
              <w:t>)</w:t>
            </w:r>
            <w:r>
              <w:rPr>
                <w:rFonts w:ascii="Arial" w:hAnsi="Arial" w:cs="Arial"/>
                <w:sz w:val="20"/>
                <w:szCs w:val="20"/>
                <w:lang w:val="en-US"/>
              </w:rPr>
              <w:t xml:space="preserve"> – Fig. 4.5 (p.93-5)</w:t>
            </w:r>
          </w:p>
          <w:p w:rsidR="00145679" w:rsidRDefault="00145679" w:rsidP="00BA31AC">
            <w:pPr>
              <w:rPr>
                <w:rFonts w:ascii="Arial" w:hAnsi="Arial" w:cs="Arial"/>
                <w:sz w:val="20"/>
                <w:szCs w:val="20"/>
                <w:lang w:val="en-US"/>
              </w:rPr>
            </w:pPr>
            <w:r>
              <w:rPr>
                <w:rFonts w:ascii="Arial" w:hAnsi="Arial" w:cs="Arial"/>
                <w:sz w:val="20"/>
                <w:szCs w:val="20"/>
                <w:lang w:val="en-US"/>
              </w:rPr>
              <w:t>Competitive stance/market position – Table 4.1 and 4.2 (p.86)</w:t>
            </w:r>
          </w:p>
          <w:p w:rsidR="00145679" w:rsidRDefault="00145679" w:rsidP="00BA31AC">
            <w:pPr>
              <w:rPr>
                <w:rFonts w:ascii="Arial" w:hAnsi="Arial" w:cs="Arial"/>
                <w:sz w:val="20"/>
                <w:szCs w:val="20"/>
                <w:lang w:val="en-US"/>
              </w:rPr>
            </w:pPr>
            <w:r>
              <w:rPr>
                <w:rFonts w:ascii="Arial" w:hAnsi="Arial" w:cs="Arial"/>
                <w:sz w:val="20"/>
                <w:szCs w:val="20"/>
                <w:lang w:val="en-US"/>
              </w:rPr>
              <w:t>Porter’s value chain Fig.6.2 p.130-1</w:t>
            </w:r>
          </w:p>
          <w:p w:rsidR="00145679" w:rsidRPr="00B865D8" w:rsidRDefault="00145679" w:rsidP="00BA31AC">
            <w:pPr>
              <w:rPr>
                <w:rFonts w:ascii="Arial" w:hAnsi="Arial" w:cs="Arial"/>
                <w:sz w:val="20"/>
                <w:szCs w:val="20"/>
                <w:lang w:val="en-US"/>
              </w:rPr>
            </w:pPr>
            <w:r>
              <w:rPr>
                <w:rFonts w:ascii="Arial" w:hAnsi="Arial" w:cs="Arial"/>
                <w:sz w:val="20"/>
                <w:szCs w:val="20"/>
                <w:lang w:val="en-US"/>
              </w:rPr>
              <w:t>Market share p.85</w:t>
            </w:r>
          </w:p>
          <w:p w:rsidR="00145679" w:rsidRPr="00B865D8" w:rsidRDefault="00145679" w:rsidP="00BA31AC">
            <w:pPr>
              <w:rPr>
                <w:rFonts w:ascii="Arial" w:hAnsi="Arial" w:cs="Arial"/>
                <w:sz w:val="20"/>
                <w:szCs w:val="20"/>
                <w:lang w:val="en-US"/>
              </w:rPr>
            </w:pPr>
          </w:p>
        </w:tc>
        <w:tc>
          <w:tcPr>
            <w:tcW w:w="3081" w:type="dxa"/>
          </w:tcPr>
          <w:p w:rsidR="00145679" w:rsidRDefault="00145679" w:rsidP="00BA31AC">
            <w:pPr>
              <w:rPr>
                <w:rFonts w:ascii="Arial" w:hAnsi="Arial" w:cs="Arial"/>
                <w:sz w:val="20"/>
                <w:szCs w:val="20"/>
                <w:lang w:val="en-US"/>
              </w:rPr>
            </w:pPr>
            <w:r w:rsidRPr="00B865D8">
              <w:rPr>
                <w:rFonts w:ascii="Arial" w:hAnsi="Arial" w:cs="Arial"/>
                <w:sz w:val="20"/>
                <w:szCs w:val="20"/>
                <w:lang w:val="en-US"/>
              </w:rPr>
              <w:t>Key success factors (competitive strength grid)</w:t>
            </w:r>
            <w:r>
              <w:rPr>
                <w:rFonts w:ascii="Arial" w:hAnsi="Arial" w:cs="Arial"/>
                <w:sz w:val="20"/>
                <w:szCs w:val="20"/>
                <w:lang w:val="en-US"/>
              </w:rPr>
              <w:t xml:space="preserve"> – Table 4.3 p.91</w:t>
            </w:r>
          </w:p>
          <w:p w:rsidR="00145679" w:rsidRPr="00B865D8" w:rsidRDefault="00145679" w:rsidP="00BA31AC">
            <w:pPr>
              <w:rPr>
                <w:rFonts w:ascii="Arial" w:hAnsi="Arial" w:cs="Arial"/>
                <w:sz w:val="20"/>
                <w:szCs w:val="20"/>
                <w:lang w:val="en-US"/>
              </w:rPr>
            </w:pPr>
            <w:r>
              <w:rPr>
                <w:rFonts w:ascii="Arial" w:hAnsi="Arial" w:cs="Arial"/>
                <w:sz w:val="20"/>
                <w:szCs w:val="20"/>
                <w:lang w:val="en-US"/>
              </w:rPr>
              <w:t>Strategic group analysis –</w:t>
            </w:r>
            <w:r w:rsidRPr="00B865D8">
              <w:rPr>
                <w:rFonts w:ascii="Arial" w:hAnsi="Arial" w:cs="Arial"/>
                <w:sz w:val="20"/>
                <w:szCs w:val="20"/>
                <w:lang w:val="en-US"/>
              </w:rPr>
              <w:t xml:space="preserve"> </w:t>
            </w:r>
            <w:r>
              <w:rPr>
                <w:rFonts w:ascii="Arial" w:hAnsi="Arial" w:cs="Arial"/>
                <w:sz w:val="20"/>
                <w:szCs w:val="20"/>
                <w:lang w:val="en-US"/>
              </w:rPr>
              <w:t>Relative Market position Charting strategic competitor groups – Fig. 4.3 p.90 – is mirrored in Perceptual map Fig.4.4 p.91</w:t>
            </w:r>
          </w:p>
        </w:tc>
      </w:tr>
      <w:tr w:rsidR="00145679" w:rsidRPr="00B865D8" w:rsidTr="00BA31AC">
        <w:tc>
          <w:tcPr>
            <w:tcW w:w="3080" w:type="dxa"/>
          </w:tcPr>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Own firm</w:t>
            </w:r>
          </w:p>
        </w:tc>
        <w:tc>
          <w:tcPr>
            <w:tcW w:w="3081" w:type="dxa"/>
          </w:tcPr>
          <w:p w:rsidR="00145679" w:rsidRDefault="00145679" w:rsidP="00BA31AC">
            <w:pPr>
              <w:rPr>
                <w:rFonts w:ascii="Arial" w:hAnsi="Arial" w:cs="Arial"/>
                <w:sz w:val="20"/>
                <w:szCs w:val="20"/>
                <w:lang w:val="en-US"/>
              </w:rPr>
            </w:pPr>
            <w:r w:rsidRPr="00B865D8">
              <w:rPr>
                <w:rFonts w:ascii="Arial" w:hAnsi="Arial" w:cs="Arial"/>
                <w:sz w:val="20"/>
                <w:szCs w:val="20"/>
                <w:lang w:val="en-US"/>
              </w:rPr>
              <w:t>Internal analysis</w:t>
            </w:r>
          </w:p>
          <w:p w:rsidR="00145679" w:rsidRPr="00B865D8" w:rsidRDefault="00145679" w:rsidP="00BA31AC">
            <w:pPr>
              <w:rPr>
                <w:rFonts w:ascii="Arial" w:hAnsi="Arial" w:cs="Arial"/>
                <w:sz w:val="20"/>
                <w:szCs w:val="20"/>
                <w:lang w:val="en-US"/>
              </w:rPr>
            </w:pPr>
            <w:r>
              <w:rPr>
                <w:rFonts w:ascii="Arial" w:hAnsi="Arial" w:cs="Arial"/>
                <w:sz w:val="20"/>
                <w:szCs w:val="20"/>
                <w:lang w:val="en-US"/>
              </w:rPr>
              <w:t>Company framework – Fig. 6.1 (p.126)</w:t>
            </w:r>
          </w:p>
        </w:tc>
        <w:tc>
          <w:tcPr>
            <w:tcW w:w="3081" w:type="dxa"/>
          </w:tcPr>
          <w:p w:rsidR="00145679" w:rsidRDefault="00145679" w:rsidP="00BA31AC">
            <w:pPr>
              <w:rPr>
                <w:rFonts w:ascii="Arial" w:hAnsi="Arial" w:cs="Arial"/>
                <w:sz w:val="20"/>
                <w:szCs w:val="20"/>
                <w:lang w:val="en-US"/>
              </w:rPr>
            </w:pPr>
            <w:r>
              <w:rPr>
                <w:rFonts w:ascii="Arial" w:hAnsi="Arial" w:cs="Arial"/>
                <w:sz w:val="20"/>
                <w:szCs w:val="20"/>
                <w:lang w:val="en-US"/>
              </w:rPr>
              <w:t>Profitability models – ROI/ROE/ROTA/ROA, Table 6.5 (p.133)</w:t>
            </w:r>
          </w:p>
          <w:p w:rsidR="00145679" w:rsidRDefault="00145679" w:rsidP="00BA31AC">
            <w:pPr>
              <w:rPr>
                <w:rFonts w:ascii="Arial" w:hAnsi="Arial" w:cs="Arial"/>
                <w:sz w:val="20"/>
                <w:szCs w:val="20"/>
                <w:lang w:val="en-US"/>
              </w:rPr>
            </w:pPr>
            <w:r>
              <w:rPr>
                <w:rFonts w:ascii="Arial" w:hAnsi="Arial" w:cs="Arial"/>
                <w:sz w:val="20"/>
                <w:szCs w:val="20"/>
                <w:lang w:val="en-US"/>
              </w:rPr>
              <w:t>Liquidity models Table 6.2 (p, 131)</w:t>
            </w:r>
          </w:p>
          <w:p w:rsidR="00145679" w:rsidRDefault="00145679" w:rsidP="00BA31AC">
            <w:pPr>
              <w:rPr>
                <w:rFonts w:ascii="Arial" w:hAnsi="Arial" w:cs="Arial"/>
                <w:sz w:val="20"/>
                <w:szCs w:val="20"/>
                <w:lang w:val="en-US"/>
              </w:rPr>
            </w:pPr>
            <w:r>
              <w:rPr>
                <w:rFonts w:ascii="Arial" w:hAnsi="Arial" w:cs="Arial"/>
                <w:sz w:val="20"/>
                <w:szCs w:val="20"/>
                <w:lang w:val="en-US"/>
              </w:rPr>
              <w:t>Activity ratios Table 6.3 (p.132)</w:t>
            </w:r>
          </w:p>
          <w:p w:rsidR="00145679" w:rsidRDefault="00145679" w:rsidP="00BA31AC">
            <w:pPr>
              <w:rPr>
                <w:rFonts w:ascii="Arial" w:hAnsi="Arial" w:cs="Arial"/>
                <w:sz w:val="20"/>
                <w:szCs w:val="20"/>
                <w:lang w:val="en-US"/>
              </w:rPr>
            </w:pPr>
            <w:r>
              <w:rPr>
                <w:rFonts w:ascii="Arial" w:hAnsi="Arial" w:cs="Arial"/>
                <w:sz w:val="20"/>
                <w:szCs w:val="20"/>
                <w:lang w:val="en-US"/>
              </w:rPr>
              <w:t>Debt ratios Table 6.4 (p. 132)</w:t>
            </w:r>
          </w:p>
          <w:p w:rsidR="00145679" w:rsidRDefault="00145679" w:rsidP="00BA31AC">
            <w:pPr>
              <w:rPr>
                <w:rFonts w:ascii="Arial" w:hAnsi="Arial" w:cs="Arial"/>
                <w:sz w:val="20"/>
                <w:szCs w:val="20"/>
                <w:lang w:val="en-US"/>
              </w:rPr>
            </w:pPr>
            <w:r>
              <w:rPr>
                <w:rFonts w:ascii="Arial" w:hAnsi="Arial" w:cs="Arial"/>
                <w:sz w:val="20"/>
                <w:szCs w:val="20"/>
                <w:lang w:val="en-US"/>
              </w:rPr>
              <w:t>Other marketing ratios (p.134)</w:t>
            </w:r>
          </w:p>
          <w:p w:rsidR="00145679" w:rsidRPr="00B865D8" w:rsidRDefault="00145679" w:rsidP="00BA31AC">
            <w:pPr>
              <w:rPr>
                <w:rFonts w:ascii="Arial" w:hAnsi="Arial" w:cs="Arial"/>
                <w:sz w:val="20"/>
                <w:szCs w:val="20"/>
                <w:lang w:val="en-US"/>
              </w:rPr>
            </w:pPr>
            <w:r w:rsidRPr="00B865D8">
              <w:rPr>
                <w:rFonts w:ascii="Arial" w:hAnsi="Arial" w:cs="Arial"/>
                <w:sz w:val="20"/>
                <w:szCs w:val="20"/>
                <w:lang w:val="en-US"/>
              </w:rPr>
              <w:t>Systems models</w:t>
            </w:r>
            <w:r>
              <w:rPr>
                <w:rFonts w:ascii="Arial" w:hAnsi="Arial" w:cs="Arial"/>
                <w:sz w:val="20"/>
                <w:szCs w:val="20"/>
                <w:lang w:val="en-US"/>
              </w:rPr>
              <w:t xml:space="preserve"> – p.43-5, 255-6</w:t>
            </w:r>
          </w:p>
          <w:p w:rsidR="00145679" w:rsidRDefault="00145679" w:rsidP="00BA31AC">
            <w:pPr>
              <w:rPr>
                <w:rFonts w:ascii="Arial" w:hAnsi="Arial" w:cs="Arial"/>
                <w:sz w:val="20"/>
                <w:szCs w:val="20"/>
                <w:lang w:val="en-US"/>
              </w:rPr>
            </w:pPr>
            <w:r w:rsidRPr="00B865D8">
              <w:rPr>
                <w:rFonts w:ascii="Arial" w:hAnsi="Arial" w:cs="Arial"/>
                <w:sz w:val="20"/>
                <w:szCs w:val="20"/>
                <w:lang w:val="en-US"/>
              </w:rPr>
              <w:t>SCA</w:t>
            </w:r>
            <w:r>
              <w:rPr>
                <w:rFonts w:ascii="Arial" w:hAnsi="Arial" w:cs="Arial"/>
                <w:sz w:val="20"/>
                <w:szCs w:val="20"/>
                <w:lang w:val="en-US"/>
              </w:rPr>
              <w:t xml:space="preserve"> – pp. 78, 117, 125, 126, 160, 206</w:t>
            </w:r>
          </w:p>
          <w:p w:rsidR="00145679" w:rsidRPr="00B865D8" w:rsidRDefault="00145679" w:rsidP="00BA31AC">
            <w:pPr>
              <w:rPr>
                <w:rFonts w:ascii="Arial" w:hAnsi="Arial" w:cs="Arial"/>
                <w:sz w:val="20"/>
                <w:szCs w:val="20"/>
                <w:lang w:val="en-US"/>
              </w:rPr>
            </w:pPr>
            <w:r>
              <w:rPr>
                <w:rFonts w:ascii="Arial" w:hAnsi="Arial" w:cs="Arial"/>
                <w:sz w:val="20"/>
                <w:szCs w:val="20"/>
                <w:lang w:val="en-US"/>
              </w:rPr>
              <w:t>Porter’s value chain Fig.6.2 p.130-1</w:t>
            </w:r>
          </w:p>
        </w:tc>
      </w:tr>
    </w:tbl>
    <w:p w:rsidR="00145679" w:rsidRDefault="00145679"/>
    <w:p w:rsidR="00145679" w:rsidRDefault="00145679">
      <w:r>
        <w:t xml:space="preserve">Note that for Question 4 of </w:t>
      </w:r>
      <w:r w:rsidR="00E24E72">
        <w:t>Part 1 of the A</w:t>
      </w:r>
      <w:r>
        <w:t>ssignment, KSF can be derived from the competitive strength grid.</w:t>
      </w:r>
    </w:p>
    <w:p w:rsidR="00C9521C" w:rsidRDefault="00C9521C">
      <w:r>
        <w:t>For Q</w:t>
      </w:r>
      <w:r w:rsidR="00E24E72">
        <w:t xml:space="preserve">uestion </w:t>
      </w:r>
      <w:r>
        <w:t>3 of</w:t>
      </w:r>
      <w:r w:rsidR="00E24E72">
        <w:t xml:space="preserve"> Part 1 the A</w:t>
      </w:r>
      <w:r>
        <w:t>ssignment, this deals with the critical issues table.</w:t>
      </w:r>
    </w:p>
    <w:p w:rsidR="00614144" w:rsidRDefault="00C9521C">
      <w:r>
        <w:lastRenderedPageBreak/>
        <w:t xml:space="preserve">This really is a summary of the key issues that are appraised in the business environment, corporation, customer and competitor analyses (Q1 and 2). When an issue is important and affects different dimensions of the business, then it may be considered a critical issue. Students should identify these critical issues and </w:t>
      </w:r>
      <w:r w:rsidR="00614144">
        <w:t>table them with ranks or weights to order these issues.  An example of an answer to this question may be:</w:t>
      </w:r>
      <w:bookmarkStart w:id="0" w:name="_GoBack"/>
      <w:bookmarkEnd w:id="0"/>
    </w:p>
    <w:p w:rsidR="00614144" w:rsidRDefault="00614144">
      <w:r w:rsidRPr="00614144">
        <w:rPr>
          <w:noProof/>
          <w:lang w:val="en-US"/>
        </w:rPr>
        <w:drawing>
          <wp:inline distT="0" distB="0" distL="0" distR="0" wp14:anchorId="74ABAF09" wp14:editId="7966E81F">
            <wp:extent cx="5701085" cy="4275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05189" cy="4278892"/>
                    </a:xfrm>
                    <a:prstGeom prst="rect">
                      <a:avLst/>
                    </a:prstGeom>
                  </pic:spPr>
                </pic:pic>
              </a:graphicData>
            </a:graphic>
          </wp:inline>
        </w:drawing>
      </w:r>
    </w:p>
    <w:p w:rsidR="00145679" w:rsidRDefault="00145679"/>
    <w:tbl>
      <w:tblPr>
        <w:tblW w:w="9240" w:type="dxa"/>
        <w:tblCellMar>
          <w:left w:w="0" w:type="dxa"/>
          <w:right w:w="0" w:type="dxa"/>
        </w:tblCellMar>
        <w:tblLook w:val="04A0" w:firstRow="1" w:lastRow="0" w:firstColumn="1" w:lastColumn="0" w:noHBand="0" w:noVBand="1"/>
      </w:tblPr>
      <w:tblGrid>
        <w:gridCol w:w="1360"/>
        <w:gridCol w:w="1460"/>
        <w:gridCol w:w="1820"/>
        <w:gridCol w:w="1800"/>
        <w:gridCol w:w="1480"/>
        <w:gridCol w:w="1320"/>
      </w:tblGrid>
      <w:tr w:rsidR="00964BC5" w:rsidRPr="00964BC5" w:rsidTr="00964BC5">
        <w:trPr>
          <w:trHeight w:val="975"/>
        </w:trPr>
        <w:tc>
          <w:tcPr>
            <w:tcW w:w="13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 xml:space="preserve">Issue </w:t>
            </w:r>
          </w:p>
        </w:tc>
        <w:tc>
          <w:tcPr>
            <w:tcW w:w="146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PEST</w:t>
            </w:r>
          </w:p>
        </w:tc>
        <w:tc>
          <w:tcPr>
            <w:tcW w:w="182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Competition</w:t>
            </w:r>
          </w:p>
        </w:tc>
        <w:tc>
          <w:tcPr>
            <w:tcW w:w="18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Corporation</w:t>
            </w:r>
          </w:p>
        </w:tc>
        <w:tc>
          <w:tcPr>
            <w:tcW w:w="148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Customer</w:t>
            </w:r>
          </w:p>
        </w:tc>
        <w:tc>
          <w:tcPr>
            <w:tcW w:w="13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Importance of issue**</w:t>
            </w:r>
          </w:p>
        </w:tc>
      </w:tr>
      <w:tr w:rsidR="00964BC5" w:rsidRPr="00964BC5" w:rsidTr="00964BC5">
        <w:trPr>
          <w:trHeight w:val="472"/>
        </w:trPr>
        <w:tc>
          <w:tcPr>
            <w:tcW w:w="13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1 State the issue here</w:t>
            </w:r>
          </w:p>
        </w:tc>
        <w:tc>
          <w:tcPr>
            <w:tcW w:w="14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.6</w:t>
            </w:r>
          </w:p>
        </w:tc>
        <w:tc>
          <w:tcPr>
            <w:tcW w:w="18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.4</w:t>
            </w:r>
          </w:p>
        </w:tc>
        <w:tc>
          <w:tcPr>
            <w:tcW w:w="18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4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.8</w:t>
            </w:r>
          </w:p>
        </w:tc>
        <w:tc>
          <w:tcPr>
            <w:tcW w:w="13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1.8*</w:t>
            </w:r>
          </w:p>
        </w:tc>
      </w:tr>
      <w:tr w:rsidR="00964BC5" w:rsidRPr="00964BC5" w:rsidTr="00964BC5">
        <w:trPr>
          <w:trHeight w:val="472"/>
        </w:trPr>
        <w:tc>
          <w:tcPr>
            <w:tcW w:w="1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2</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.3</w:t>
            </w:r>
          </w:p>
        </w:tc>
        <w:tc>
          <w:tcPr>
            <w:tcW w:w="18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.2</w:t>
            </w:r>
          </w:p>
        </w:tc>
        <w:tc>
          <w:tcPr>
            <w:tcW w:w="14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.5</w:t>
            </w:r>
          </w:p>
        </w:tc>
      </w:tr>
      <w:tr w:rsidR="00964BC5" w:rsidRPr="00964BC5" w:rsidTr="00964BC5">
        <w:trPr>
          <w:trHeight w:val="472"/>
        </w:trPr>
        <w:tc>
          <w:tcPr>
            <w:tcW w:w="1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3</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.1</w:t>
            </w:r>
          </w:p>
        </w:tc>
        <w:tc>
          <w:tcPr>
            <w:tcW w:w="18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.2</w:t>
            </w:r>
          </w:p>
        </w:tc>
        <w:tc>
          <w:tcPr>
            <w:tcW w:w="1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-.3</w:t>
            </w:r>
          </w:p>
        </w:tc>
        <w:tc>
          <w:tcPr>
            <w:tcW w:w="14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0</w:t>
            </w:r>
          </w:p>
        </w:tc>
      </w:tr>
      <w:tr w:rsidR="00964BC5" w:rsidRPr="00964BC5" w:rsidTr="00964BC5">
        <w:trPr>
          <w:trHeight w:val="472"/>
        </w:trPr>
        <w:tc>
          <w:tcPr>
            <w:tcW w:w="1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4</w:t>
            </w:r>
          </w:p>
        </w:tc>
        <w:tc>
          <w:tcPr>
            <w:tcW w:w="14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8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.2</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.5</w:t>
            </w:r>
          </w:p>
        </w:tc>
        <w:tc>
          <w:tcPr>
            <w:tcW w:w="14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4F06CB" w:rsidRPr="00964BC5" w:rsidRDefault="00964BC5" w:rsidP="00964BC5">
            <w:pPr>
              <w:rPr>
                <w:lang w:val="en-AU"/>
              </w:rPr>
            </w:pPr>
            <w:r w:rsidRPr="00964BC5">
              <w:rPr>
                <w:lang w:val="en-US"/>
              </w:rPr>
              <w:t>.7</w:t>
            </w:r>
          </w:p>
        </w:tc>
      </w:tr>
      <w:tr w:rsidR="00964BC5" w:rsidRPr="00964BC5" w:rsidTr="00964BC5">
        <w:trPr>
          <w:trHeight w:val="472"/>
        </w:trPr>
        <w:tc>
          <w:tcPr>
            <w:tcW w:w="13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5</w:t>
            </w:r>
          </w:p>
        </w:tc>
        <w:tc>
          <w:tcPr>
            <w:tcW w:w="14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8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.1</w:t>
            </w:r>
          </w:p>
        </w:tc>
        <w:tc>
          <w:tcPr>
            <w:tcW w:w="18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 </w:t>
            </w:r>
          </w:p>
        </w:tc>
        <w:tc>
          <w:tcPr>
            <w:tcW w:w="14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-.2</w:t>
            </w:r>
          </w:p>
        </w:tc>
        <w:tc>
          <w:tcPr>
            <w:tcW w:w="13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F06CB" w:rsidRPr="00964BC5" w:rsidRDefault="00964BC5" w:rsidP="00964BC5">
            <w:pPr>
              <w:rPr>
                <w:lang w:val="en-AU"/>
              </w:rPr>
            </w:pPr>
            <w:r w:rsidRPr="00964BC5">
              <w:rPr>
                <w:lang w:val="en-US"/>
              </w:rPr>
              <w:t>-.1</w:t>
            </w:r>
          </w:p>
        </w:tc>
      </w:tr>
      <w:tr w:rsidR="00964BC5" w:rsidRPr="00964BC5" w:rsidTr="00964BC5">
        <w:trPr>
          <w:trHeight w:val="472"/>
        </w:trPr>
        <w:tc>
          <w:tcPr>
            <w:tcW w:w="9240" w:type="dxa"/>
            <w:gridSpan w:val="6"/>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F06CB" w:rsidRPr="00964BC5" w:rsidRDefault="00964BC5" w:rsidP="00964BC5">
            <w:pPr>
              <w:rPr>
                <w:lang w:val="en-AU"/>
              </w:rPr>
            </w:pPr>
            <w:r w:rsidRPr="00964BC5">
              <w:rPr>
                <w:b/>
                <w:bCs/>
                <w:lang w:val="en-US"/>
              </w:rPr>
              <w:t xml:space="preserve">**Bigger weights mean more importance *This table lists the issues that affect more than one </w:t>
            </w:r>
            <w:r w:rsidRPr="00964BC5">
              <w:rPr>
                <w:b/>
                <w:bCs/>
                <w:lang w:val="en-US"/>
              </w:rPr>
              <w:lastRenderedPageBreak/>
              <w:t xml:space="preserve">market construct. Because of this, the weights may not add up to 1. </w:t>
            </w:r>
          </w:p>
        </w:tc>
      </w:tr>
    </w:tbl>
    <w:p w:rsidR="00964BC5" w:rsidRDefault="00964BC5"/>
    <w:sectPr w:rsidR="00964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79"/>
    <w:rsid w:val="00145679"/>
    <w:rsid w:val="004F06CB"/>
    <w:rsid w:val="00614144"/>
    <w:rsid w:val="00964BC5"/>
    <w:rsid w:val="00BC07FF"/>
    <w:rsid w:val="00C9521C"/>
    <w:rsid w:val="00E24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44"/>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4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8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Lee</dc:creator>
  <cp:lastModifiedBy>user</cp:lastModifiedBy>
  <cp:revision>2</cp:revision>
  <dcterms:created xsi:type="dcterms:W3CDTF">2013-09-05T04:26:00Z</dcterms:created>
  <dcterms:modified xsi:type="dcterms:W3CDTF">2013-09-05T04:26:00Z</dcterms:modified>
</cp:coreProperties>
</file>